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4209" w14:textId="57641FEF" w:rsidR="00F53612" w:rsidRDefault="00F53612" w:rsidP="00F53612">
      <w:pPr>
        <w:snapToGrid w:val="0"/>
        <w:spacing w:after="0"/>
        <w:jc w:val="left"/>
        <w:rPr>
          <w:rFonts w:cs="Arial"/>
          <w:b/>
          <w:sz w:val="28"/>
          <w:szCs w:val="28"/>
        </w:rPr>
      </w:pPr>
      <w:bookmarkStart w:id="0" w:name="_Ref9601301"/>
      <w:r>
        <w:rPr>
          <w:rFonts w:cs="Arial"/>
          <w:b/>
          <w:sz w:val="28"/>
          <w:szCs w:val="28"/>
        </w:rPr>
        <w:t>3GPP TSG RAN Meeting #108</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Pr="00F53612">
        <w:rPr>
          <w:rFonts w:cs="Arial"/>
          <w:b/>
          <w:sz w:val="28"/>
          <w:szCs w:val="28"/>
        </w:rPr>
        <w:t>RP-251706</w:t>
      </w:r>
    </w:p>
    <w:p w14:paraId="1D1F3893" w14:textId="77777777" w:rsidR="00F53612" w:rsidRDefault="00F53612" w:rsidP="00F53612">
      <w:pPr>
        <w:snapToGrid w:val="0"/>
        <w:spacing w:after="0"/>
        <w:jc w:val="left"/>
        <w:rPr>
          <w:rFonts w:cs="Arial"/>
          <w:b/>
          <w:sz w:val="28"/>
          <w:szCs w:val="28"/>
        </w:rPr>
      </w:pPr>
      <w:r>
        <w:rPr>
          <w:rFonts w:cs="Arial"/>
          <w:b/>
          <w:sz w:val="28"/>
          <w:szCs w:val="28"/>
        </w:rPr>
        <w:t>Prague, Czech Republic, June 9-13, 2025</w:t>
      </w:r>
    </w:p>
    <w:p w14:paraId="51CA290E" w14:textId="77777777" w:rsidR="00F53612" w:rsidRDefault="00F53612" w:rsidP="00F53612">
      <w:pPr>
        <w:jc w:val="left"/>
      </w:pPr>
    </w:p>
    <w:p w14:paraId="5395ED21" w14:textId="77777777" w:rsidR="00F53612" w:rsidRDefault="00F53612" w:rsidP="00F53612">
      <w:pPr>
        <w:jc w:val="left"/>
      </w:pPr>
    </w:p>
    <w:p w14:paraId="39B6EC2C" w14:textId="77777777" w:rsidR="00F53612" w:rsidRDefault="00F53612" w:rsidP="00F53612">
      <w:pPr>
        <w:ind w:left="1800" w:hanging="1800"/>
        <w:jc w:val="left"/>
        <w:rPr>
          <w:b/>
          <w:sz w:val="24"/>
          <w:szCs w:val="24"/>
        </w:rPr>
      </w:pPr>
      <w:r>
        <w:rPr>
          <w:b/>
          <w:sz w:val="24"/>
          <w:szCs w:val="24"/>
        </w:rPr>
        <w:t>Source:</w:t>
      </w:r>
      <w:r>
        <w:rPr>
          <w:b/>
          <w:sz w:val="24"/>
          <w:szCs w:val="24"/>
        </w:rPr>
        <w:tab/>
        <w:t>AT&amp;T</w:t>
      </w:r>
    </w:p>
    <w:p w14:paraId="398F1E04" w14:textId="1B64CD05" w:rsidR="00F53612" w:rsidRDefault="00F53612" w:rsidP="00F53612">
      <w:pPr>
        <w:ind w:left="1800" w:hanging="1800"/>
        <w:jc w:val="left"/>
        <w:rPr>
          <w:b/>
          <w:sz w:val="24"/>
          <w:szCs w:val="24"/>
        </w:rPr>
      </w:pPr>
      <w:r>
        <w:rPr>
          <w:b/>
          <w:sz w:val="24"/>
          <w:szCs w:val="24"/>
        </w:rPr>
        <w:t>Title:</w:t>
      </w:r>
      <w:r>
        <w:rPr>
          <w:b/>
          <w:sz w:val="24"/>
          <w:szCs w:val="24"/>
        </w:rPr>
        <w:tab/>
      </w:r>
      <w:r w:rsidR="00BE28CF" w:rsidRPr="00BE28CF">
        <w:rPr>
          <w:b/>
          <w:sz w:val="24"/>
          <w:szCs w:val="24"/>
        </w:rPr>
        <w:t xml:space="preserve">AT&amp;T Views on </w:t>
      </w:r>
      <w:bookmarkStart w:id="1" w:name="OLE_LINK1"/>
      <w:r w:rsidR="00BE28CF" w:rsidRPr="00BE28CF">
        <w:rPr>
          <w:b/>
          <w:sz w:val="24"/>
          <w:szCs w:val="24"/>
        </w:rPr>
        <w:t>New RAN WG SI for 6G</w:t>
      </w:r>
      <w:bookmarkEnd w:id="1"/>
    </w:p>
    <w:p w14:paraId="427F449D" w14:textId="4B751044" w:rsidR="00F53612" w:rsidRDefault="00F53612" w:rsidP="00F53612">
      <w:pPr>
        <w:ind w:left="1800" w:hanging="1800"/>
        <w:jc w:val="left"/>
        <w:rPr>
          <w:b/>
          <w:sz w:val="24"/>
          <w:szCs w:val="24"/>
        </w:rPr>
      </w:pPr>
      <w:r>
        <w:rPr>
          <w:b/>
          <w:sz w:val="24"/>
          <w:szCs w:val="24"/>
        </w:rPr>
        <w:t>Agenda Item:</w:t>
      </w:r>
      <w:r>
        <w:rPr>
          <w:b/>
          <w:sz w:val="24"/>
          <w:szCs w:val="24"/>
        </w:rPr>
        <w:tab/>
        <w:t>16.</w:t>
      </w:r>
      <w:r w:rsidR="00BE28CF">
        <w:rPr>
          <w:b/>
          <w:sz w:val="24"/>
          <w:szCs w:val="24"/>
        </w:rPr>
        <w:t>2</w:t>
      </w:r>
    </w:p>
    <w:p w14:paraId="2778079D" w14:textId="40FE239D" w:rsidR="00F53612" w:rsidRDefault="00F53612" w:rsidP="00F53612">
      <w:pPr>
        <w:ind w:left="1800" w:hanging="1800"/>
        <w:jc w:val="left"/>
        <w:rPr>
          <w:b/>
          <w:sz w:val="24"/>
          <w:szCs w:val="24"/>
        </w:rPr>
      </w:pPr>
      <w:r>
        <w:rPr>
          <w:b/>
          <w:sz w:val="24"/>
          <w:szCs w:val="24"/>
        </w:rPr>
        <w:t xml:space="preserve">Document for: </w:t>
      </w:r>
      <w:r>
        <w:rPr>
          <w:b/>
          <w:sz w:val="24"/>
          <w:szCs w:val="24"/>
        </w:rPr>
        <w:tab/>
        <w:t>Discussion</w:t>
      </w:r>
      <w:r w:rsidR="00880D94">
        <w:rPr>
          <w:b/>
          <w:sz w:val="24"/>
          <w:szCs w:val="24"/>
        </w:rPr>
        <w:t>/Decision</w:t>
      </w:r>
    </w:p>
    <w:p w14:paraId="42C8DDF0" w14:textId="77777777" w:rsidR="00F53612" w:rsidRDefault="00F53612" w:rsidP="00F53612">
      <w:pPr>
        <w:jc w:val="left"/>
      </w:pPr>
    </w:p>
    <w:p w14:paraId="07F3EEB5" w14:textId="77777777" w:rsidR="00FE6C49" w:rsidRPr="00172743" w:rsidRDefault="00FE6C49" w:rsidP="00FE6C49">
      <w:pPr>
        <w:pStyle w:val="Heading1"/>
        <w:jc w:val="both"/>
      </w:pPr>
      <w:r w:rsidRPr="00172743">
        <w:t>Introduction</w:t>
      </w:r>
      <w:bookmarkEnd w:id="0"/>
    </w:p>
    <w:p w14:paraId="6CC34467" w14:textId="6DB9A0DB" w:rsidR="0067540C" w:rsidRDefault="00CE342C" w:rsidP="00F53612">
      <w:pPr>
        <w:pStyle w:val="maintext"/>
        <w:ind w:firstLineChars="90" w:firstLine="180"/>
        <w:rPr>
          <w:rStyle w:val="ui-provider"/>
          <w:rFonts w:ascii="Calibri" w:hAnsi="Calibri" w:cs="Calibri"/>
          <w:b/>
          <w:bCs/>
        </w:rPr>
      </w:pPr>
      <w:r>
        <w:rPr>
          <w:rFonts w:ascii="Calibri" w:hAnsi="Calibri" w:cs="Arial"/>
        </w:rPr>
        <w:t>During the TSG RAN #108 meeting, 3GPP is expected to agree a n</w:t>
      </w:r>
      <w:r w:rsidRPr="00CE342C">
        <w:rPr>
          <w:rFonts w:ascii="Calibri" w:hAnsi="Calibri" w:cs="Arial"/>
        </w:rPr>
        <w:t>ew RAN WG SI for 6G</w:t>
      </w:r>
      <w:r>
        <w:rPr>
          <w:rFonts w:ascii="Calibri" w:hAnsi="Calibri" w:cs="Arial"/>
        </w:rPr>
        <w:t xml:space="preserve">. In this contribution, we provide our views </w:t>
      </w:r>
      <w:r w:rsidR="009B15A2">
        <w:rPr>
          <w:rFonts w:ascii="Calibri" w:hAnsi="Calibri" w:cs="Arial"/>
        </w:rPr>
        <w:t xml:space="preserve">on the drafting and scope of a working group level study for 6G. </w:t>
      </w:r>
    </w:p>
    <w:p w14:paraId="1A240AF9" w14:textId="77777777" w:rsidR="007725EB" w:rsidRDefault="007725EB" w:rsidP="00631FA4">
      <w:pPr>
        <w:pStyle w:val="maintext"/>
        <w:tabs>
          <w:tab w:val="left" w:pos="3150"/>
        </w:tabs>
        <w:ind w:firstLineChars="90" w:firstLine="180"/>
        <w:rPr>
          <w:rFonts w:ascii="Calibri" w:hAnsi="Calibri" w:cs="Arial"/>
        </w:rPr>
      </w:pPr>
    </w:p>
    <w:p w14:paraId="73C5A721" w14:textId="00213C65" w:rsidR="00654F41" w:rsidRDefault="00F53612" w:rsidP="00654F41">
      <w:pPr>
        <w:pStyle w:val="Heading1"/>
        <w:jc w:val="both"/>
      </w:pPr>
      <w:r>
        <w:rPr>
          <w:lang w:val="en-GB"/>
        </w:rPr>
        <w:t>Discussion</w:t>
      </w:r>
    </w:p>
    <w:p w14:paraId="2D6FA4DF" w14:textId="5D1B85AC" w:rsidR="001C14C7" w:rsidRDefault="001C14C7" w:rsidP="009B15A2">
      <w:pPr>
        <w:pStyle w:val="maintext"/>
        <w:tabs>
          <w:tab w:val="left" w:pos="3150"/>
        </w:tabs>
        <w:ind w:firstLineChars="90" w:firstLine="180"/>
        <w:rPr>
          <w:rFonts w:ascii="Calibri" w:hAnsi="Calibri" w:cs="Arial"/>
        </w:rPr>
      </w:pPr>
    </w:p>
    <w:p w14:paraId="5D850E1A" w14:textId="15FDBEF2" w:rsidR="00AF6774" w:rsidRPr="00AF6774" w:rsidRDefault="00AF6774" w:rsidP="00AF6774">
      <w:pPr>
        <w:pStyle w:val="Heading2"/>
        <w:rPr>
          <w:lang w:val="en-GB"/>
        </w:rPr>
      </w:pPr>
      <w:r>
        <w:rPr>
          <w:lang w:val="en-GB"/>
        </w:rPr>
        <w:t>B</w:t>
      </w:r>
      <w:r w:rsidRPr="00AF6774">
        <w:rPr>
          <w:lang w:val="en-GB"/>
        </w:rPr>
        <w:t xml:space="preserve">ackward </w:t>
      </w:r>
      <w:r>
        <w:rPr>
          <w:lang w:val="en-GB"/>
        </w:rPr>
        <w:t>C</w:t>
      </w:r>
      <w:r w:rsidRPr="00AF6774">
        <w:rPr>
          <w:lang w:val="en-GB"/>
        </w:rPr>
        <w:t>ompatib</w:t>
      </w:r>
      <w:r>
        <w:rPr>
          <w:lang w:val="en-GB"/>
        </w:rPr>
        <w:t>ility</w:t>
      </w:r>
    </w:p>
    <w:p w14:paraId="57DA5E55" w14:textId="24EB34A8" w:rsidR="00AF6774" w:rsidRDefault="00AB3288" w:rsidP="009B15A2">
      <w:pPr>
        <w:pStyle w:val="maintext"/>
        <w:tabs>
          <w:tab w:val="left" w:pos="3150"/>
        </w:tabs>
        <w:ind w:firstLineChars="90" w:firstLine="180"/>
        <w:rPr>
          <w:rFonts w:ascii="Calibri" w:hAnsi="Calibri" w:cs="Arial"/>
        </w:rPr>
      </w:pPr>
      <w:r>
        <w:rPr>
          <w:rFonts w:ascii="Calibri" w:hAnsi="Calibri" w:cs="Arial"/>
        </w:rPr>
        <w:t>Our detailed views can be found in our companion contribution in [1] and are summarized as follows:</w:t>
      </w:r>
    </w:p>
    <w:tbl>
      <w:tblPr>
        <w:tblStyle w:val="TableGrid"/>
        <w:tblW w:w="0" w:type="auto"/>
        <w:tblLook w:val="04A0" w:firstRow="1" w:lastRow="0" w:firstColumn="1" w:lastColumn="0" w:noHBand="0" w:noVBand="1"/>
      </w:tblPr>
      <w:tblGrid>
        <w:gridCol w:w="10070"/>
      </w:tblGrid>
      <w:tr w:rsidR="00AB3288" w14:paraId="7322D271" w14:textId="77777777">
        <w:tc>
          <w:tcPr>
            <w:tcW w:w="0" w:type="auto"/>
          </w:tcPr>
          <w:p w14:paraId="5BEC5E67" w14:textId="77777777" w:rsidR="00870172" w:rsidRDefault="00870172" w:rsidP="00870172">
            <w:pPr>
              <w:spacing w:after="60" w:line="288" w:lineRule="auto"/>
              <w:ind w:firstLineChars="90" w:firstLine="180"/>
              <w:jc w:val="left"/>
              <w:rPr>
                <w:rFonts w:ascii="Calibri" w:eastAsia="Malgun Gothic" w:hAnsi="Calibri" w:cs="Arial"/>
                <w:lang w:eastAsia="ko-KR"/>
              </w:rPr>
            </w:pPr>
            <w:r w:rsidRPr="00044957">
              <w:rPr>
                <w:rFonts w:ascii="Calibri" w:eastAsia="Malgun Gothic" w:hAnsi="Calibri" w:cs="Arial"/>
                <w:lang w:eastAsia="ko-KR"/>
              </w:rPr>
              <w:t xml:space="preserve">3GPP </w:t>
            </w:r>
            <w:r>
              <w:rPr>
                <w:rFonts w:ascii="Calibri" w:eastAsia="Malgun Gothic" w:hAnsi="Calibri" w:cs="Arial"/>
                <w:lang w:eastAsia="ko-KR"/>
              </w:rPr>
              <w:t xml:space="preserve">TSG </w:t>
            </w:r>
            <w:r w:rsidRPr="00044957">
              <w:rPr>
                <w:rFonts w:ascii="Calibri" w:eastAsia="Malgun Gothic" w:hAnsi="Calibri" w:cs="Arial"/>
                <w:lang w:eastAsia="ko-KR"/>
              </w:rPr>
              <w:t xml:space="preserve">RAN </w:t>
            </w:r>
            <w:r>
              <w:rPr>
                <w:rFonts w:ascii="Calibri" w:eastAsia="Malgun Gothic" w:hAnsi="Calibri" w:cs="Arial"/>
                <w:lang w:eastAsia="ko-KR"/>
              </w:rPr>
              <w:t>working groups</w:t>
            </w:r>
            <w:r w:rsidRPr="00044957">
              <w:rPr>
                <w:rFonts w:ascii="Calibri" w:eastAsia="Malgun Gothic" w:hAnsi="Calibri" w:cs="Arial"/>
                <w:lang w:eastAsia="ko-KR"/>
              </w:rPr>
              <w:t xml:space="preserve"> should discuss how </w:t>
            </w:r>
            <w:r>
              <w:rPr>
                <w:rFonts w:ascii="Calibri" w:eastAsia="Malgun Gothic" w:hAnsi="Calibri" w:cs="Arial"/>
                <w:lang w:eastAsia="ko-KR"/>
              </w:rPr>
              <w:t xml:space="preserve">to </w:t>
            </w:r>
            <w:r w:rsidRPr="00044957">
              <w:rPr>
                <w:rFonts w:ascii="Calibri" w:eastAsia="Malgun Gothic" w:hAnsi="Calibri" w:cs="Arial"/>
                <w:lang w:eastAsia="ko-KR"/>
              </w:rPr>
              <w:t>meaningfully differentiate between software vs. hardware</w:t>
            </w:r>
            <w:r>
              <w:rPr>
                <w:rFonts w:ascii="Calibri" w:eastAsia="Malgun Gothic" w:hAnsi="Calibri" w:cs="Arial"/>
                <w:lang w:eastAsia="ko-KR"/>
              </w:rPr>
              <w:t xml:space="preserve"> to assess the </w:t>
            </w:r>
            <w:r w:rsidRPr="00044957">
              <w:rPr>
                <w:rFonts w:ascii="Calibri" w:eastAsia="Malgun Gothic" w:hAnsi="Calibri" w:cs="Arial"/>
                <w:lang w:eastAsia="ko-KR"/>
              </w:rPr>
              <w:t>impact</w:t>
            </w:r>
            <w:r>
              <w:rPr>
                <w:rFonts w:ascii="Calibri" w:eastAsia="Malgun Gothic" w:hAnsi="Calibri" w:cs="Arial"/>
                <w:lang w:eastAsia="ko-KR"/>
              </w:rPr>
              <w:t xml:space="preserve"> of</w:t>
            </w:r>
            <w:r w:rsidRPr="00044957">
              <w:rPr>
                <w:rFonts w:ascii="Calibri" w:eastAsia="Malgun Gothic" w:hAnsi="Calibri" w:cs="Arial"/>
                <w:lang w:eastAsia="ko-KR"/>
              </w:rPr>
              <w:t xml:space="preserve"> non-backward compatible changes</w:t>
            </w:r>
            <w:r>
              <w:rPr>
                <w:rFonts w:ascii="Calibri" w:eastAsia="Malgun Gothic" w:hAnsi="Calibri" w:cs="Arial"/>
                <w:lang w:eastAsia="ko-KR"/>
              </w:rPr>
              <w:t xml:space="preserve"> such that </w:t>
            </w:r>
            <w:r w:rsidRPr="00267F2D">
              <w:rPr>
                <w:rFonts w:ascii="Calibri" w:eastAsia="Malgun Gothic" w:hAnsi="Calibri" w:cs="Arial"/>
                <w:lang w:eastAsia="ko-KR"/>
              </w:rPr>
              <w:t xml:space="preserve">6G deployment </w:t>
            </w:r>
            <w:r>
              <w:rPr>
                <w:rFonts w:ascii="Calibri" w:eastAsia="Malgun Gothic" w:hAnsi="Calibri" w:cs="Arial"/>
                <w:lang w:eastAsia="ko-KR"/>
              </w:rPr>
              <w:t>does</w:t>
            </w:r>
            <w:r w:rsidRPr="00267F2D">
              <w:rPr>
                <w:rFonts w:ascii="Calibri" w:eastAsia="Malgun Gothic" w:hAnsi="Calibri" w:cs="Arial"/>
                <w:lang w:eastAsia="ko-KR"/>
              </w:rPr>
              <w:t xml:space="preserve"> not require complete overhaul of hardware to realize benefits</w:t>
            </w:r>
            <w:r>
              <w:rPr>
                <w:rFonts w:ascii="Calibri" w:eastAsia="Malgun Gothic" w:hAnsi="Calibri" w:cs="Arial"/>
                <w:lang w:eastAsia="ko-KR"/>
              </w:rPr>
              <w:t xml:space="preserve">. </w:t>
            </w:r>
            <w:r w:rsidRPr="00267F2D">
              <w:rPr>
                <w:rFonts w:ascii="Calibri" w:eastAsia="Malgun Gothic" w:hAnsi="Calibri" w:cs="Arial"/>
                <w:lang w:eastAsia="ko-KR"/>
              </w:rPr>
              <w:t>3GPP should facilitate software-driven 6G deployment with existing open radios in legacy bands leveraging efficient 5G-6G MRSS, where and when needed</w:t>
            </w:r>
            <w:r>
              <w:rPr>
                <w:rFonts w:ascii="Calibri" w:eastAsia="Malgun Gothic" w:hAnsi="Calibri" w:cs="Arial"/>
                <w:lang w:eastAsia="ko-KR"/>
              </w:rPr>
              <w:t xml:space="preserve">. </w:t>
            </w:r>
            <w:r w:rsidRPr="00267F2D">
              <w:rPr>
                <w:rFonts w:ascii="Calibri" w:eastAsia="Malgun Gothic" w:hAnsi="Calibri" w:cs="Arial"/>
                <w:lang w:eastAsia="ko-KR"/>
              </w:rPr>
              <w:t>3GPP RAN working groups should study the full capability of 6G when radios are refreshed in existing or new greenfield bands as necessitated by actual needs</w:t>
            </w:r>
            <w:r>
              <w:rPr>
                <w:rFonts w:ascii="Calibri" w:eastAsia="Malgun Gothic" w:hAnsi="Calibri" w:cs="Arial"/>
                <w:lang w:eastAsia="ko-KR"/>
              </w:rPr>
              <w:t>. Specifically, t</w:t>
            </w:r>
            <w:r w:rsidRPr="00267F2D">
              <w:rPr>
                <w:rFonts w:ascii="Calibri" w:eastAsia="Malgun Gothic" w:hAnsi="Calibri" w:cs="Arial"/>
                <w:lang w:eastAsia="ko-KR"/>
              </w:rPr>
              <w:t>he UE shall always assume a base station deploys new 6G hardware. A UE shall be completely oblivious as to whether a given base station uses “capable 5G RAN infrastructure” or a new 6G radio.</w:t>
            </w:r>
            <w:r>
              <w:rPr>
                <w:rFonts w:ascii="Calibri" w:eastAsia="Malgun Gothic" w:hAnsi="Calibri" w:cs="Arial"/>
                <w:lang w:eastAsia="ko-KR"/>
              </w:rPr>
              <w:t xml:space="preserve"> </w:t>
            </w:r>
            <w:r w:rsidRPr="00267F2D">
              <w:rPr>
                <w:rFonts w:ascii="Calibri" w:eastAsia="Malgun Gothic" w:hAnsi="Calibri" w:cs="Arial"/>
                <w:lang w:eastAsia="ko-KR"/>
              </w:rPr>
              <w:t xml:space="preserve">After network attach, through RRC (re)configuration, a vast number of novel waveform designs, modulations, and coding schemes could be </w:t>
            </w:r>
            <w:r>
              <w:rPr>
                <w:rFonts w:ascii="Calibri" w:eastAsia="Malgun Gothic" w:hAnsi="Calibri" w:cs="Arial"/>
                <w:lang w:eastAsia="ko-KR"/>
              </w:rPr>
              <w:t>considered</w:t>
            </w:r>
            <w:r w:rsidRPr="00267F2D">
              <w:rPr>
                <w:rFonts w:ascii="Calibri" w:eastAsia="Malgun Gothic" w:hAnsi="Calibri" w:cs="Arial"/>
                <w:lang w:eastAsia="ko-KR"/>
              </w:rPr>
              <w:t xml:space="preserve">, </w:t>
            </w:r>
            <w:proofErr w:type="gramStart"/>
            <w:r w:rsidRPr="00267F2D">
              <w:rPr>
                <w:rFonts w:ascii="Calibri" w:eastAsia="Malgun Gothic" w:hAnsi="Calibri" w:cs="Arial"/>
                <w:lang w:eastAsia="ko-KR"/>
              </w:rPr>
              <w:t>as long as</w:t>
            </w:r>
            <w:proofErr w:type="gramEnd"/>
            <w:r w:rsidRPr="00267F2D">
              <w:rPr>
                <w:rFonts w:ascii="Calibri" w:eastAsia="Malgun Gothic" w:hAnsi="Calibri" w:cs="Arial"/>
                <w:lang w:eastAsia="ko-KR"/>
              </w:rPr>
              <w:t xml:space="preserve"> they </w:t>
            </w:r>
            <w:r>
              <w:rPr>
                <w:rFonts w:ascii="Calibri" w:eastAsia="Malgun Gothic" w:hAnsi="Calibri" w:cs="Arial"/>
                <w:lang w:eastAsia="ko-KR"/>
              </w:rPr>
              <w:t xml:space="preserve">can </w:t>
            </w:r>
            <w:r w:rsidRPr="00267F2D">
              <w:rPr>
                <w:rFonts w:ascii="Calibri" w:eastAsia="Malgun Gothic" w:hAnsi="Calibri" w:cs="Arial"/>
                <w:lang w:eastAsia="ko-KR"/>
              </w:rPr>
              <w:t>coexist with the OFDM time-frequency grid as specified in 5G NR.</w:t>
            </w:r>
            <w:r>
              <w:rPr>
                <w:rFonts w:ascii="Calibri" w:eastAsia="Malgun Gothic" w:hAnsi="Calibri" w:cs="Arial"/>
                <w:lang w:eastAsia="ko-KR"/>
              </w:rPr>
              <w:t xml:space="preserve"> </w:t>
            </w:r>
            <w:r w:rsidRPr="00807E2D">
              <w:rPr>
                <w:rFonts w:ascii="Calibri" w:eastAsia="Malgun Gothic" w:hAnsi="Calibri" w:cs="Arial"/>
                <w:lang w:eastAsia="ko-KR"/>
              </w:rPr>
              <w:t xml:space="preserve">By guaranteeing that the UE always assumes a base station deploys new hardware the pitfalls </w:t>
            </w:r>
            <w:proofErr w:type="gramStart"/>
            <w:r w:rsidRPr="004A74FD">
              <w:rPr>
                <w:rFonts w:ascii="Calibri" w:eastAsia="Malgun Gothic" w:hAnsi="Calibri" w:cs="Arial"/>
                <w:bCs/>
                <w:iCs/>
                <w:lang w:eastAsia="ko-KR"/>
              </w:rPr>
              <w:t>similar to</w:t>
            </w:r>
            <w:proofErr w:type="gramEnd"/>
            <w:r w:rsidRPr="004A74FD">
              <w:rPr>
                <w:rFonts w:ascii="Calibri" w:eastAsia="Malgun Gothic" w:hAnsi="Calibri" w:cs="Arial"/>
                <w:lang w:eastAsia="ko-KR"/>
              </w:rPr>
              <w:t xml:space="preserve"> </w:t>
            </w:r>
            <w:r w:rsidRPr="00807E2D">
              <w:rPr>
                <w:rFonts w:ascii="Calibri" w:eastAsia="Malgun Gothic" w:hAnsi="Calibri" w:cs="Arial"/>
                <w:lang w:eastAsia="ko-KR"/>
              </w:rPr>
              <w:t xml:space="preserve">5G NSA are avoided where a UE was aware of whether 5G was rolled out as NSA or SA. This requirement is thus key to ensuring </w:t>
            </w:r>
            <w:r>
              <w:rPr>
                <w:rFonts w:ascii="Calibri" w:eastAsia="Malgun Gothic" w:hAnsi="Calibri" w:cs="Arial"/>
                <w:lang w:eastAsia="ko-KR"/>
              </w:rPr>
              <w:t xml:space="preserve">the principle of </w:t>
            </w:r>
            <w:r w:rsidRPr="00807E2D">
              <w:rPr>
                <w:rFonts w:ascii="Calibri" w:eastAsia="Malgun Gothic" w:hAnsi="Calibri" w:cs="Arial"/>
                <w:lang w:eastAsia="ko-KR"/>
              </w:rPr>
              <w:t>a single branch of 6G standards development.</w:t>
            </w:r>
          </w:p>
          <w:p w14:paraId="3B637F99" w14:textId="15EE7089" w:rsidR="00AB3288" w:rsidRDefault="00870172" w:rsidP="00870172">
            <w:pPr>
              <w:pStyle w:val="maintext"/>
              <w:tabs>
                <w:tab w:val="left" w:pos="3150"/>
              </w:tabs>
              <w:ind w:firstLineChars="0" w:firstLine="0"/>
              <w:rPr>
                <w:rFonts w:ascii="Calibri" w:hAnsi="Calibri" w:cs="Arial"/>
              </w:rPr>
            </w:pPr>
            <w:r w:rsidRPr="008F22BF">
              <w:rPr>
                <w:rFonts w:ascii="Calibri" w:hAnsi="Calibri" w:cs="Arial"/>
              </w:rPr>
              <w:t xml:space="preserve">The vision of a software-based 6G rollout with needs-based hardware refresh is consequently perfectly congruent with the </w:t>
            </w:r>
            <w:r>
              <w:rPr>
                <w:rFonts w:ascii="Calibri" w:hAnsi="Calibri" w:cs="Arial"/>
              </w:rPr>
              <w:t>desire</w:t>
            </w:r>
            <w:r w:rsidRPr="008F22BF">
              <w:rPr>
                <w:rFonts w:ascii="Calibri" w:hAnsi="Calibri" w:cs="Arial"/>
              </w:rPr>
              <w:t xml:space="preserve"> </w:t>
            </w:r>
            <w:r>
              <w:rPr>
                <w:rFonts w:ascii="Calibri" w:hAnsi="Calibri" w:cs="Arial"/>
              </w:rPr>
              <w:t xml:space="preserve">for </w:t>
            </w:r>
            <w:r w:rsidRPr="008F22BF">
              <w:rPr>
                <w:rFonts w:ascii="Calibri" w:hAnsi="Calibri" w:cs="Arial"/>
              </w:rPr>
              <w:t xml:space="preserve">3GPP RAN working groups </w:t>
            </w:r>
            <w:r>
              <w:rPr>
                <w:rFonts w:ascii="Calibri" w:hAnsi="Calibri" w:cs="Arial"/>
              </w:rPr>
              <w:t xml:space="preserve">to </w:t>
            </w:r>
            <w:r w:rsidRPr="008F22BF">
              <w:rPr>
                <w:rFonts w:ascii="Calibri" w:hAnsi="Calibri" w:cs="Arial"/>
              </w:rPr>
              <w:t>study the full capability of 6G when radios are refreshed</w:t>
            </w:r>
            <w:r>
              <w:rPr>
                <w:rFonts w:ascii="Calibri" w:hAnsi="Calibri" w:cs="Arial"/>
              </w:rPr>
              <w:t xml:space="preserve"> (</w:t>
            </w:r>
            <w:r w:rsidRPr="008F22BF">
              <w:rPr>
                <w:rFonts w:ascii="Calibri" w:hAnsi="Calibri" w:cs="Arial"/>
                <w:bCs/>
                <w:iCs/>
              </w:rPr>
              <w:t>waveform design, modulation, coding schemes</w:t>
            </w:r>
            <w:r>
              <w:rPr>
                <w:rFonts w:ascii="Calibri" w:hAnsi="Calibri" w:cs="Arial"/>
                <w:bCs/>
                <w:iCs/>
              </w:rPr>
              <w:t xml:space="preserve"> …</w:t>
            </w:r>
            <w:r>
              <w:rPr>
                <w:rFonts w:ascii="Calibri" w:hAnsi="Calibri" w:cs="Arial"/>
              </w:rPr>
              <w:t>)</w:t>
            </w:r>
            <w:r w:rsidRPr="008F22BF">
              <w:rPr>
                <w:rFonts w:ascii="Calibri" w:hAnsi="Calibri" w:cs="Arial"/>
              </w:rPr>
              <w:t>.</w:t>
            </w:r>
            <w:r>
              <w:rPr>
                <w:rFonts w:ascii="Calibri" w:hAnsi="Calibri" w:cs="Arial"/>
              </w:rPr>
              <w:t xml:space="preserve"> </w:t>
            </w:r>
            <w:r w:rsidRPr="008F22BF">
              <w:rPr>
                <w:rFonts w:ascii="Calibri" w:hAnsi="Calibri" w:cs="Arial"/>
              </w:rPr>
              <w:t>Software-based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p>
        </w:tc>
      </w:tr>
    </w:tbl>
    <w:p w14:paraId="660E0531" w14:textId="77777777" w:rsidR="00AF6774" w:rsidRDefault="00AF6774" w:rsidP="009B15A2">
      <w:pPr>
        <w:pStyle w:val="maintext"/>
        <w:tabs>
          <w:tab w:val="left" w:pos="3150"/>
        </w:tabs>
        <w:ind w:firstLineChars="90" w:firstLine="180"/>
        <w:rPr>
          <w:rFonts w:ascii="Calibri" w:hAnsi="Calibri" w:cs="Arial"/>
        </w:rPr>
      </w:pPr>
    </w:p>
    <w:p w14:paraId="28937246" w14:textId="1D10F2B4" w:rsidR="00AF6774" w:rsidRPr="00406391" w:rsidRDefault="00773E65" w:rsidP="00406391">
      <w:pPr>
        <w:pStyle w:val="Heading2"/>
        <w:rPr>
          <w:lang w:val="en-GB"/>
        </w:rPr>
      </w:pPr>
      <w:r w:rsidRPr="00773E65">
        <w:t xml:space="preserve">System </w:t>
      </w:r>
      <w:r>
        <w:t>S</w:t>
      </w:r>
      <w:r w:rsidRPr="00773E65">
        <w:t>implification</w:t>
      </w:r>
    </w:p>
    <w:p w14:paraId="138569BD" w14:textId="51EB4A83" w:rsidR="009B15A2" w:rsidRDefault="00870172" w:rsidP="009B15A2">
      <w:pPr>
        <w:pStyle w:val="maintext"/>
        <w:tabs>
          <w:tab w:val="left" w:pos="3150"/>
        </w:tabs>
        <w:ind w:firstLineChars="90" w:firstLine="180"/>
        <w:rPr>
          <w:rFonts w:ascii="Calibri" w:hAnsi="Calibri" w:cs="Arial"/>
        </w:rPr>
      </w:pPr>
      <w:r>
        <w:rPr>
          <w:rFonts w:ascii="Calibri" w:hAnsi="Calibri" w:cs="Arial"/>
        </w:rPr>
        <w:t>Our detailed views can be found in our companion contribution in [2] and are summarized as follows:</w:t>
      </w:r>
    </w:p>
    <w:tbl>
      <w:tblPr>
        <w:tblStyle w:val="TableGrid"/>
        <w:tblW w:w="0" w:type="auto"/>
        <w:tblLook w:val="04A0" w:firstRow="1" w:lastRow="0" w:firstColumn="1" w:lastColumn="0" w:noHBand="0" w:noVBand="1"/>
      </w:tblPr>
      <w:tblGrid>
        <w:gridCol w:w="10070"/>
      </w:tblGrid>
      <w:tr w:rsidR="00870172" w14:paraId="1CFE6B0F" w14:textId="77777777">
        <w:tc>
          <w:tcPr>
            <w:tcW w:w="0" w:type="auto"/>
          </w:tcPr>
          <w:p w14:paraId="12357358" w14:textId="77777777" w:rsidR="003132BE" w:rsidRPr="00C754E6" w:rsidRDefault="003132BE" w:rsidP="003132BE">
            <w:pPr>
              <w:spacing w:after="60" w:line="288" w:lineRule="auto"/>
              <w:ind w:firstLineChars="90" w:firstLine="180"/>
              <w:jc w:val="left"/>
              <w:rPr>
                <w:rFonts w:ascii="Calibri" w:eastAsia="Malgun Gothic" w:hAnsi="Calibri" w:cs="Arial"/>
                <w:lang w:eastAsia="ko-KR"/>
              </w:rPr>
            </w:pPr>
            <w:r w:rsidRPr="00C754E6">
              <w:rPr>
                <w:rFonts w:ascii="Calibri" w:eastAsia="Malgun Gothic" w:hAnsi="Calibri" w:cs="Arial"/>
                <w:lang w:eastAsia="ko-KR"/>
              </w:rPr>
              <w:lastRenderedPageBreak/>
              <w:t xml:space="preserve">A globally aligned and normatively specified testing and certification procedure should ensure features are not just declared as mandatory, but deployment of these (and other features) </w:t>
            </w:r>
            <w:r>
              <w:rPr>
                <w:rFonts w:ascii="Calibri" w:eastAsia="Malgun Gothic" w:hAnsi="Calibri" w:cs="Arial"/>
                <w:lang w:eastAsia="ko-KR"/>
              </w:rPr>
              <w:t>is</w:t>
            </w:r>
            <w:r w:rsidRPr="00C754E6">
              <w:rPr>
                <w:rFonts w:ascii="Calibri" w:eastAsia="Malgun Gothic" w:hAnsi="Calibri" w:cs="Arial"/>
                <w:lang w:eastAsia="ko-KR"/>
              </w:rPr>
              <w:t xml:space="preserve"> tracked in 3GPP with a binding certification procedure for both the network and the user equipment.</w:t>
            </w:r>
          </w:p>
          <w:p w14:paraId="1A5A8073" w14:textId="2796BDDA" w:rsidR="00870172" w:rsidRDefault="003132BE" w:rsidP="003132BE">
            <w:pPr>
              <w:pStyle w:val="maintext"/>
              <w:tabs>
                <w:tab w:val="left" w:pos="3150"/>
              </w:tabs>
              <w:ind w:firstLineChars="0" w:firstLine="0"/>
              <w:rPr>
                <w:rFonts w:ascii="Calibri" w:hAnsi="Calibri" w:cs="Arial"/>
              </w:rPr>
            </w:pPr>
            <w:r w:rsidRPr="00C754E6">
              <w:rPr>
                <w:rFonts w:ascii="Calibri" w:hAnsi="Calibri" w:cs="Arial"/>
              </w:rPr>
              <w:t xml:space="preserve">For each 3GPP 6G work item, basic feature groups should be defined to ensure implementation, certification, and deployment of large numbers of features </w:t>
            </w:r>
            <w:r w:rsidRPr="00C754E6">
              <w:rPr>
                <w:rFonts w:ascii="Calibri" w:hAnsi="Calibri" w:cs="Arial"/>
                <w:i/>
                <w:iCs/>
              </w:rPr>
              <w:t>as components of a single feature group</w:t>
            </w:r>
            <w:r w:rsidRPr="00C754E6">
              <w:rPr>
                <w:rFonts w:ascii="Calibri" w:hAnsi="Calibri" w:cs="Arial"/>
              </w:rPr>
              <w:t>, rather than specifying a myriad of individual feature groups for a small number, and often a single component. These basic feature groups together define a meaningful, minimum set of features that are globally aligned among operators.</w:t>
            </w:r>
          </w:p>
        </w:tc>
      </w:tr>
    </w:tbl>
    <w:p w14:paraId="5A03FEBD" w14:textId="77777777" w:rsidR="00406391" w:rsidRDefault="00406391" w:rsidP="009B15A2">
      <w:pPr>
        <w:pStyle w:val="maintext"/>
        <w:tabs>
          <w:tab w:val="left" w:pos="3150"/>
        </w:tabs>
        <w:ind w:firstLineChars="90" w:firstLine="180"/>
        <w:rPr>
          <w:rFonts w:ascii="Calibri" w:hAnsi="Calibri" w:cs="Arial"/>
        </w:rPr>
      </w:pPr>
    </w:p>
    <w:p w14:paraId="37200BDB" w14:textId="6CAE1BC4" w:rsidR="00406391" w:rsidRPr="00271D03" w:rsidRDefault="00271D03" w:rsidP="00271D03">
      <w:pPr>
        <w:pStyle w:val="Heading2"/>
        <w:rPr>
          <w:lang w:val="en-GB"/>
        </w:rPr>
      </w:pPr>
      <w:r>
        <w:rPr>
          <w:lang w:val="en-GB"/>
        </w:rPr>
        <w:t>P</w:t>
      </w:r>
      <w:r w:rsidRPr="00271D03">
        <w:rPr>
          <w:lang w:val="en-GB"/>
        </w:rPr>
        <w:t xml:space="preserve">ractical </w:t>
      </w:r>
      <w:r>
        <w:rPr>
          <w:lang w:val="en-GB"/>
        </w:rPr>
        <w:t>U</w:t>
      </w:r>
      <w:r w:rsidRPr="00271D03">
        <w:rPr>
          <w:lang w:val="en-GB"/>
        </w:rPr>
        <w:t xml:space="preserve">ser </w:t>
      </w:r>
      <w:r>
        <w:rPr>
          <w:lang w:val="en-GB"/>
        </w:rPr>
        <w:t>E</w:t>
      </w:r>
      <w:r w:rsidRPr="00271D03">
        <w:rPr>
          <w:lang w:val="en-GB"/>
        </w:rPr>
        <w:t>xperience</w:t>
      </w:r>
    </w:p>
    <w:p w14:paraId="236507FD" w14:textId="2314EBC7" w:rsidR="00271D03" w:rsidRDefault="003132BE" w:rsidP="009B15A2">
      <w:pPr>
        <w:pStyle w:val="maintext"/>
        <w:tabs>
          <w:tab w:val="left" w:pos="3150"/>
        </w:tabs>
        <w:ind w:firstLineChars="90" w:firstLine="180"/>
        <w:rPr>
          <w:rFonts w:ascii="Calibri" w:hAnsi="Calibri" w:cs="Arial"/>
          <w:lang w:val="en-US"/>
        </w:rPr>
      </w:pPr>
      <w:r w:rsidRPr="003132BE">
        <w:rPr>
          <w:rFonts w:ascii="Calibri" w:hAnsi="Calibri" w:cs="Arial"/>
          <w:lang w:val="en-US"/>
        </w:rPr>
        <w:t>Our detailed views can be found in our companion contribution in [</w:t>
      </w:r>
      <w:r>
        <w:rPr>
          <w:rFonts w:ascii="Calibri" w:hAnsi="Calibri" w:cs="Arial"/>
          <w:lang w:val="en-US"/>
        </w:rPr>
        <w:t>3</w:t>
      </w:r>
      <w:r w:rsidRPr="003132BE">
        <w:rPr>
          <w:rFonts w:ascii="Calibri" w:hAnsi="Calibri" w:cs="Arial"/>
          <w:lang w:val="en-US"/>
        </w:rPr>
        <w:t>]</w:t>
      </w:r>
      <w:r>
        <w:rPr>
          <w:rFonts w:ascii="Calibri" w:hAnsi="Calibri" w:cs="Arial"/>
          <w:lang w:val="en-US"/>
        </w:rPr>
        <w:t>.</w:t>
      </w:r>
    </w:p>
    <w:p w14:paraId="45E9ECCA" w14:textId="77777777" w:rsidR="00271D03" w:rsidRDefault="00271D03" w:rsidP="009B15A2">
      <w:pPr>
        <w:pStyle w:val="maintext"/>
        <w:tabs>
          <w:tab w:val="left" w:pos="3150"/>
        </w:tabs>
        <w:ind w:firstLineChars="90" w:firstLine="180"/>
        <w:rPr>
          <w:rFonts w:ascii="Calibri" w:hAnsi="Calibri" w:cs="Arial"/>
          <w:lang w:val="en-US"/>
        </w:rPr>
      </w:pPr>
    </w:p>
    <w:p w14:paraId="0B5FB578" w14:textId="2E92E914" w:rsidR="00271D03" w:rsidRPr="00C30C0F" w:rsidRDefault="00AD4D03" w:rsidP="00C30C0F">
      <w:pPr>
        <w:pStyle w:val="Heading2"/>
        <w:rPr>
          <w:lang w:val="en-GB"/>
        </w:rPr>
      </w:pPr>
      <w:r w:rsidRPr="00C30C0F">
        <w:rPr>
          <w:lang w:val="en-GB"/>
        </w:rPr>
        <w:t xml:space="preserve">Supported </w:t>
      </w:r>
      <w:r w:rsidR="00C30C0F" w:rsidRPr="00C30C0F">
        <w:rPr>
          <w:lang w:val="en-GB"/>
        </w:rPr>
        <w:t>Frequency Ranges</w:t>
      </w:r>
    </w:p>
    <w:p w14:paraId="24926F95" w14:textId="21ED37B7" w:rsidR="00C30C0F" w:rsidRDefault="00CF12BD" w:rsidP="009B15A2">
      <w:pPr>
        <w:pStyle w:val="maintext"/>
        <w:tabs>
          <w:tab w:val="left" w:pos="3150"/>
        </w:tabs>
        <w:ind w:firstLineChars="90" w:firstLine="180"/>
        <w:rPr>
          <w:rFonts w:ascii="Calibri" w:hAnsi="Calibri" w:cs="Arial"/>
          <w:lang w:val="en-US"/>
        </w:rPr>
      </w:pPr>
      <w:r>
        <w:rPr>
          <w:rFonts w:ascii="Calibri" w:hAnsi="Calibri" w:cs="Arial"/>
          <w:lang w:val="en-US"/>
        </w:rPr>
        <w:t>6G shall support FR1, FR2-1, and the frequency range in between</w:t>
      </w:r>
      <w:r w:rsidR="00A7191A">
        <w:rPr>
          <w:rFonts w:ascii="Calibri" w:hAnsi="Calibri" w:cs="Arial"/>
          <w:lang w:val="en-US"/>
        </w:rPr>
        <w:t xml:space="preserve"> (“FR3”). If the new 6G Radio does not support operation in unlicensed spectrum, support beyond 52.6 GHz (viz., FR2-2) is not needed. </w:t>
      </w:r>
    </w:p>
    <w:p w14:paraId="2625530D" w14:textId="77777777" w:rsidR="00271D03" w:rsidRDefault="00271D03" w:rsidP="009B15A2">
      <w:pPr>
        <w:pStyle w:val="maintext"/>
        <w:tabs>
          <w:tab w:val="left" w:pos="3150"/>
        </w:tabs>
        <w:ind w:firstLineChars="90" w:firstLine="180"/>
        <w:rPr>
          <w:rFonts w:ascii="Calibri" w:hAnsi="Calibri" w:cs="Arial"/>
        </w:rPr>
      </w:pPr>
    </w:p>
    <w:p w14:paraId="771CCD52" w14:textId="11B36EEA" w:rsidR="00C30C0F" w:rsidRPr="00C365CD" w:rsidRDefault="00C365CD" w:rsidP="00C365CD">
      <w:pPr>
        <w:pStyle w:val="Heading2"/>
        <w:rPr>
          <w:lang w:val="en-GB"/>
        </w:rPr>
      </w:pPr>
      <w:r>
        <w:rPr>
          <w:lang w:val="en-GB"/>
        </w:rPr>
        <w:t>S</w:t>
      </w:r>
      <w:r w:rsidRPr="00C365CD">
        <w:rPr>
          <w:lang w:val="en-GB"/>
        </w:rPr>
        <w:t xml:space="preserve">tand-alone </w:t>
      </w:r>
      <w:r w:rsidR="0054356C">
        <w:rPr>
          <w:lang w:val="en-GB"/>
        </w:rPr>
        <w:t xml:space="preserve">Operation, </w:t>
      </w:r>
      <w:r w:rsidR="0054356C" w:rsidRPr="0054356C">
        <w:rPr>
          <w:lang w:val="en-GB"/>
        </w:rPr>
        <w:t>5G-6G Multi-RAT Spectrum Sharing (MRSS)</w:t>
      </w:r>
      <w:r w:rsidR="0054356C">
        <w:rPr>
          <w:lang w:val="en-GB"/>
        </w:rPr>
        <w:t xml:space="preserve">, and </w:t>
      </w:r>
      <w:r w:rsidR="0054356C" w:rsidRPr="0054356C">
        <w:rPr>
          <w:lang w:val="en-GB"/>
        </w:rPr>
        <w:t>Migration from 5G NR to 6GR</w:t>
      </w:r>
    </w:p>
    <w:p w14:paraId="10E96B96" w14:textId="299AC24C" w:rsidR="00C365CD" w:rsidRDefault="00C45B87" w:rsidP="009B15A2">
      <w:pPr>
        <w:pStyle w:val="maintext"/>
        <w:tabs>
          <w:tab w:val="left" w:pos="3150"/>
        </w:tabs>
        <w:ind w:firstLineChars="90" w:firstLine="180"/>
        <w:rPr>
          <w:rFonts w:ascii="Calibri" w:hAnsi="Calibri" w:cs="Arial"/>
          <w:lang w:val="en-US"/>
        </w:rPr>
      </w:pPr>
      <w:r>
        <w:rPr>
          <w:rFonts w:ascii="Calibri" w:hAnsi="Calibri" w:cs="Arial"/>
          <w:lang w:val="sv-SE"/>
        </w:rPr>
        <w:t xml:space="preserve">3GPP shall standardize one </w:t>
      </w:r>
      <w:r w:rsidR="00340625" w:rsidRPr="00340625">
        <w:rPr>
          <w:rFonts w:ascii="Calibri" w:hAnsi="Calibri" w:cs="Arial"/>
          <w:lang w:val="sv-SE"/>
        </w:rPr>
        <w:t xml:space="preserve">standalone architecture with 6G-6G carrier aggregation and 5G-6G Multi-RAT Spectrum Sharing </w:t>
      </w:r>
      <w:r>
        <w:rPr>
          <w:rFonts w:ascii="Calibri" w:hAnsi="Calibri" w:cs="Arial"/>
          <w:lang w:val="sv-SE"/>
        </w:rPr>
        <w:t xml:space="preserve">(MRSS) </w:t>
      </w:r>
      <w:r w:rsidR="00340625" w:rsidRPr="00340625">
        <w:rPr>
          <w:rFonts w:ascii="Calibri" w:hAnsi="Calibri" w:cs="Arial"/>
          <w:lang w:val="sv-SE"/>
        </w:rPr>
        <w:t>for migration</w:t>
      </w:r>
      <w:r>
        <w:rPr>
          <w:rFonts w:ascii="Calibri" w:hAnsi="Calibri" w:cs="Arial"/>
          <w:lang w:val="sv-SE"/>
        </w:rPr>
        <w:t xml:space="preserve">. </w:t>
      </w:r>
      <w:r w:rsidR="00DF5BE8">
        <w:rPr>
          <w:rFonts w:ascii="Calibri" w:hAnsi="Calibri" w:cs="Arial"/>
          <w:lang w:val="en-US"/>
        </w:rPr>
        <w:t>Additional m</w:t>
      </w:r>
      <w:r w:rsidR="00DF5BE8" w:rsidRPr="00DF5BE8">
        <w:rPr>
          <w:rFonts w:ascii="Calibri" w:hAnsi="Calibri" w:cs="Arial"/>
          <w:lang w:val="en-US"/>
        </w:rPr>
        <w:t xml:space="preserve">igration </w:t>
      </w:r>
      <w:r w:rsidR="00DF5BE8">
        <w:rPr>
          <w:rFonts w:ascii="Calibri" w:hAnsi="Calibri" w:cs="Arial"/>
          <w:lang w:val="en-US"/>
        </w:rPr>
        <w:t xml:space="preserve">architecture options </w:t>
      </w:r>
      <w:r w:rsidR="00DF5BE8" w:rsidRPr="00DF5BE8">
        <w:rPr>
          <w:rFonts w:ascii="Calibri" w:hAnsi="Calibri" w:cs="Arial"/>
          <w:lang w:val="en-US"/>
        </w:rPr>
        <w:t>from 5G NR to 6G</w:t>
      </w:r>
      <w:r w:rsidR="00DF5BE8">
        <w:rPr>
          <w:rFonts w:ascii="Calibri" w:hAnsi="Calibri" w:cs="Arial"/>
          <w:lang w:val="en-US"/>
        </w:rPr>
        <w:t xml:space="preserve"> should be studied</w:t>
      </w:r>
      <w:r w:rsidR="00B337F4">
        <w:rPr>
          <w:rFonts w:ascii="Calibri" w:hAnsi="Calibri" w:cs="Arial"/>
          <w:lang w:val="en-US"/>
        </w:rPr>
        <w:t>,</w:t>
      </w:r>
      <w:r w:rsidR="00DF5BE8">
        <w:rPr>
          <w:rFonts w:ascii="Calibri" w:hAnsi="Calibri" w:cs="Arial"/>
          <w:lang w:val="en-US"/>
        </w:rPr>
        <w:t xml:space="preserve"> but </w:t>
      </w:r>
      <w:r w:rsidR="00DF5BE8" w:rsidRPr="00DF5BE8">
        <w:rPr>
          <w:rFonts w:ascii="Calibri" w:hAnsi="Calibri" w:cs="Arial"/>
          <w:i/>
          <w:iCs/>
          <w:lang w:val="en-US"/>
        </w:rPr>
        <w:t>at most</w:t>
      </w:r>
      <w:r w:rsidR="00DF5BE8">
        <w:rPr>
          <w:rFonts w:ascii="Calibri" w:hAnsi="Calibri" w:cs="Arial"/>
          <w:lang w:val="en-US"/>
        </w:rPr>
        <w:t xml:space="preserve"> one additional </w:t>
      </w:r>
      <w:r w:rsidR="00DF5BE8" w:rsidRPr="00340625">
        <w:rPr>
          <w:rFonts w:ascii="Calibri" w:hAnsi="Calibri" w:cs="Arial"/>
          <w:lang w:val="sv-SE"/>
        </w:rPr>
        <w:t>architecture</w:t>
      </w:r>
      <w:r w:rsidR="00357AF3">
        <w:rPr>
          <w:rFonts w:ascii="Calibri" w:hAnsi="Calibri" w:cs="Arial"/>
          <w:lang w:val="sv-SE"/>
        </w:rPr>
        <w:t>, if any,</w:t>
      </w:r>
      <w:r w:rsidR="00DF5BE8">
        <w:rPr>
          <w:rFonts w:ascii="Calibri" w:hAnsi="Calibri" w:cs="Arial"/>
          <w:lang w:val="sv-SE"/>
        </w:rPr>
        <w:t xml:space="preserve"> should </w:t>
      </w:r>
      <w:r w:rsidR="00357AF3">
        <w:rPr>
          <w:rFonts w:ascii="Calibri" w:hAnsi="Calibri" w:cs="Arial"/>
          <w:lang w:val="sv-SE"/>
        </w:rPr>
        <w:t xml:space="preserve">be specified. </w:t>
      </w:r>
      <w:r w:rsidR="00AE5556">
        <w:rPr>
          <w:rFonts w:ascii="Calibri" w:hAnsi="Calibri" w:cs="Arial"/>
          <w:lang w:val="sv-SE"/>
        </w:rPr>
        <w:t>The study should c</w:t>
      </w:r>
      <w:r w:rsidR="00AE5556" w:rsidRPr="00AE5556">
        <w:rPr>
          <w:rFonts w:ascii="Calibri" w:hAnsi="Calibri" w:cs="Arial"/>
          <w:lang w:val="sv-SE"/>
        </w:rPr>
        <w:t xml:space="preserve">onsider UE impact, RAN impact, </w:t>
      </w:r>
      <w:r w:rsidR="00AE5556">
        <w:rPr>
          <w:rFonts w:ascii="Calibri" w:hAnsi="Calibri" w:cs="Arial"/>
          <w:lang w:val="sv-SE"/>
        </w:rPr>
        <w:t xml:space="preserve">and </w:t>
      </w:r>
      <w:r w:rsidR="00AE5556" w:rsidRPr="00AE5556">
        <w:rPr>
          <w:rFonts w:ascii="Calibri" w:hAnsi="Calibri" w:cs="Arial"/>
          <w:lang w:val="sv-SE"/>
        </w:rPr>
        <w:t>overall specification impact.</w:t>
      </w:r>
      <w:r w:rsidR="00AE5556">
        <w:rPr>
          <w:rFonts w:ascii="Calibri" w:hAnsi="Calibri" w:cs="Arial"/>
          <w:lang w:val="sv-SE"/>
        </w:rPr>
        <w:t xml:space="preserve"> </w:t>
      </w:r>
      <w:r w:rsidR="000B2166" w:rsidRPr="000B2166">
        <w:rPr>
          <w:rFonts w:ascii="Calibri" w:hAnsi="Calibri" w:cs="Arial"/>
          <w:lang w:val="sv-SE"/>
        </w:rPr>
        <w:t xml:space="preserve">Mobility between 5G NR and 6G </w:t>
      </w:r>
      <w:r w:rsidR="00780092">
        <w:rPr>
          <w:rFonts w:ascii="Calibri" w:hAnsi="Calibri" w:cs="Arial"/>
          <w:lang w:val="sv-SE"/>
        </w:rPr>
        <w:t xml:space="preserve">is supported. </w:t>
      </w:r>
    </w:p>
    <w:p w14:paraId="4B036DD7" w14:textId="77777777" w:rsidR="000D7AD9" w:rsidRDefault="000D7AD9" w:rsidP="009B15A2">
      <w:pPr>
        <w:pStyle w:val="maintext"/>
        <w:tabs>
          <w:tab w:val="left" w:pos="3150"/>
        </w:tabs>
        <w:ind w:firstLineChars="90" w:firstLine="180"/>
        <w:rPr>
          <w:rFonts w:ascii="Calibri" w:hAnsi="Calibri" w:cs="Arial"/>
          <w:lang w:val="en-US"/>
        </w:rPr>
      </w:pPr>
    </w:p>
    <w:p w14:paraId="69B0498F" w14:textId="1ECF96BD" w:rsidR="000D7AD9" w:rsidRPr="000D7AD9" w:rsidRDefault="000D7AD9" w:rsidP="000D7AD9">
      <w:pPr>
        <w:pStyle w:val="Heading2"/>
        <w:rPr>
          <w:lang w:val="en-GB"/>
        </w:rPr>
      </w:pPr>
      <w:r w:rsidRPr="000D7AD9">
        <w:rPr>
          <w:lang w:val="en-GB"/>
        </w:rPr>
        <w:t>Network Energy Savings and UE Power Savings</w:t>
      </w:r>
    </w:p>
    <w:p w14:paraId="6623DAB0" w14:textId="2D657DE2" w:rsidR="000D7AD9" w:rsidRPr="00483259" w:rsidRDefault="00483259" w:rsidP="009B15A2">
      <w:pPr>
        <w:pStyle w:val="maintext"/>
        <w:tabs>
          <w:tab w:val="left" w:pos="3150"/>
        </w:tabs>
        <w:ind w:firstLineChars="90" w:firstLine="180"/>
        <w:rPr>
          <w:rFonts w:ascii="Calibri" w:hAnsi="Calibri" w:cs="Arial"/>
          <w:lang w:val="en-US"/>
        </w:rPr>
      </w:pPr>
      <w:r w:rsidRPr="00483259">
        <w:rPr>
          <w:rFonts w:ascii="Calibri" w:hAnsi="Calibri" w:cs="Arial"/>
          <w:lang w:val="en-US"/>
        </w:rPr>
        <w:t xml:space="preserve">Network </w:t>
      </w:r>
      <w:r>
        <w:rPr>
          <w:rFonts w:ascii="Calibri" w:hAnsi="Calibri" w:cs="Arial"/>
          <w:lang w:val="en-US"/>
        </w:rPr>
        <w:t>e</w:t>
      </w:r>
      <w:r w:rsidRPr="00483259">
        <w:rPr>
          <w:rFonts w:ascii="Calibri" w:hAnsi="Calibri" w:cs="Arial"/>
          <w:lang w:val="en-US"/>
        </w:rPr>
        <w:t xml:space="preserve">nergy </w:t>
      </w:r>
      <w:r>
        <w:rPr>
          <w:rFonts w:ascii="Calibri" w:hAnsi="Calibri" w:cs="Arial"/>
          <w:lang w:val="en-US"/>
        </w:rPr>
        <w:t>s</w:t>
      </w:r>
      <w:r w:rsidRPr="00483259">
        <w:rPr>
          <w:rFonts w:ascii="Calibri" w:hAnsi="Calibri" w:cs="Arial"/>
          <w:lang w:val="en-US"/>
        </w:rPr>
        <w:t xml:space="preserve">avings </w:t>
      </w:r>
      <w:r>
        <w:rPr>
          <w:rFonts w:ascii="Calibri" w:hAnsi="Calibri" w:cs="Arial"/>
          <w:lang w:val="en-US"/>
        </w:rPr>
        <w:t xml:space="preserve">(NES) </w:t>
      </w:r>
      <w:r w:rsidRPr="00483259">
        <w:rPr>
          <w:rFonts w:ascii="Calibri" w:hAnsi="Calibri" w:cs="Arial"/>
          <w:lang w:val="en-US"/>
        </w:rPr>
        <w:t xml:space="preserve">and UE </w:t>
      </w:r>
      <w:r>
        <w:rPr>
          <w:rFonts w:ascii="Calibri" w:hAnsi="Calibri" w:cs="Arial"/>
          <w:lang w:val="en-US"/>
        </w:rPr>
        <w:t>p</w:t>
      </w:r>
      <w:r w:rsidRPr="00483259">
        <w:rPr>
          <w:rFonts w:ascii="Calibri" w:hAnsi="Calibri" w:cs="Arial"/>
          <w:lang w:val="en-US"/>
        </w:rPr>
        <w:t xml:space="preserve">ower </w:t>
      </w:r>
      <w:r>
        <w:rPr>
          <w:rFonts w:ascii="Calibri" w:hAnsi="Calibri" w:cs="Arial"/>
          <w:lang w:val="en-US"/>
        </w:rPr>
        <w:t>s</w:t>
      </w:r>
      <w:r w:rsidRPr="00483259">
        <w:rPr>
          <w:rFonts w:ascii="Calibri" w:hAnsi="Calibri" w:cs="Arial"/>
          <w:lang w:val="en-US"/>
        </w:rPr>
        <w:t>avings</w:t>
      </w:r>
      <w:r>
        <w:rPr>
          <w:rFonts w:ascii="Calibri" w:hAnsi="Calibri" w:cs="Arial"/>
          <w:lang w:val="en-US"/>
        </w:rPr>
        <w:t xml:space="preserve"> (PS) should </w:t>
      </w:r>
      <w:r>
        <w:rPr>
          <w:rFonts w:ascii="Calibri" w:hAnsi="Calibri" w:cs="Arial"/>
          <w:i/>
          <w:iCs/>
          <w:lang w:val="en-US"/>
        </w:rPr>
        <w:t>not</w:t>
      </w:r>
      <w:r>
        <w:rPr>
          <w:rFonts w:ascii="Calibri" w:hAnsi="Calibri" w:cs="Arial"/>
          <w:lang w:val="en-US"/>
        </w:rPr>
        <w:t xml:space="preserve"> be treated as two </w:t>
      </w:r>
      <w:proofErr w:type="gramStart"/>
      <w:r>
        <w:rPr>
          <w:rFonts w:ascii="Calibri" w:hAnsi="Calibri" w:cs="Arial"/>
          <w:lang w:val="en-US"/>
        </w:rPr>
        <w:t>separate</w:t>
      </w:r>
      <w:proofErr w:type="gramEnd"/>
      <w:r>
        <w:rPr>
          <w:rFonts w:ascii="Calibri" w:hAnsi="Calibri" w:cs="Arial"/>
          <w:lang w:val="en-US"/>
        </w:rPr>
        <w:t xml:space="preserve">, and at times competing objectives as in 5G. </w:t>
      </w:r>
      <w:r w:rsidR="00F81CC3">
        <w:rPr>
          <w:rFonts w:ascii="Calibri" w:hAnsi="Calibri" w:cs="Arial"/>
          <w:lang w:val="en-US"/>
        </w:rPr>
        <w:t xml:space="preserve">The </w:t>
      </w:r>
      <w:r>
        <w:rPr>
          <w:rFonts w:ascii="Calibri" w:hAnsi="Calibri" w:cs="Arial"/>
          <w:lang w:val="en-US"/>
        </w:rPr>
        <w:t xml:space="preserve">6G Radio shall maximize NES and PS </w:t>
      </w:r>
      <w:r w:rsidR="0098729B">
        <w:rPr>
          <w:rFonts w:ascii="Calibri" w:hAnsi="Calibri" w:cs="Arial"/>
          <w:lang w:val="en-US"/>
        </w:rPr>
        <w:t>using one common design</w:t>
      </w:r>
      <w:r w:rsidR="00127EA9">
        <w:rPr>
          <w:rFonts w:ascii="Calibri" w:hAnsi="Calibri" w:cs="Arial"/>
          <w:lang w:val="en-US"/>
        </w:rPr>
        <w:t xml:space="preserve"> and both NES and PS should be prioritized from the onset, unlike 4G and 5G where NES followed PS. </w:t>
      </w:r>
    </w:p>
    <w:p w14:paraId="28EED360" w14:textId="77777777" w:rsidR="000D7AD9" w:rsidRDefault="000D7AD9" w:rsidP="009B15A2">
      <w:pPr>
        <w:pStyle w:val="maintext"/>
        <w:tabs>
          <w:tab w:val="left" w:pos="3150"/>
        </w:tabs>
        <w:ind w:firstLineChars="90" w:firstLine="180"/>
        <w:rPr>
          <w:rFonts w:ascii="Calibri" w:hAnsi="Calibri" w:cs="Arial"/>
          <w:lang w:val="en-US"/>
        </w:rPr>
      </w:pPr>
    </w:p>
    <w:p w14:paraId="1EAAB0B2" w14:textId="114100BE" w:rsidR="006D52D2" w:rsidRPr="006D52D2" w:rsidRDefault="006D52D2" w:rsidP="006D52D2">
      <w:pPr>
        <w:pStyle w:val="Heading2"/>
        <w:rPr>
          <w:lang w:val="en-GB"/>
        </w:rPr>
      </w:pPr>
      <w:r w:rsidRPr="006D52D2">
        <w:rPr>
          <w:lang w:val="en-GB"/>
        </w:rPr>
        <w:t>Coverage</w:t>
      </w:r>
    </w:p>
    <w:p w14:paraId="159FA37B" w14:textId="7BDEB6B6" w:rsidR="00135C6D" w:rsidRDefault="00E612DF" w:rsidP="009B15A2">
      <w:pPr>
        <w:pStyle w:val="maintext"/>
        <w:tabs>
          <w:tab w:val="left" w:pos="3150"/>
        </w:tabs>
        <w:ind w:firstLineChars="90" w:firstLine="180"/>
        <w:rPr>
          <w:rFonts w:ascii="Calibri" w:hAnsi="Calibri" w:cs="Arial"/>
          <w:lang w:val="en-US"/>
        </w:rPr>
      </w:pPr>
      <w:r>
        <w:rPr>
          <w:rFonts w:ascii="Calibri" w:hAnsi="Calibri" w:cs="Arial"/>
          <w:lang w:val="en-US"/>
        </w:rPr>
        <w:t xml:space="preserve">6G Radio design should </w:t>
      </w:r>
      <w:r w:rsidR="001E60B1" w:rsidRPr="001E60B1">
        <w:rPr>
          <w:rFonts w:ascii="Calibri" w:hAnsi="Calibri" w:cs="Arial"/>
          <w:lang w:val="en-US"/>
        </w:rPr>
        <w:t>focus on cell-edge performance and UL coverage</w:t>
      </w:r>
      <w:r>
        <w:rPr>
          <w:rFonts w:ascii="Calibri" w:hAnsi="Calibri" w:cs="Arial"/>
          <w:lang w:val="en-US"/>
        </w:rPr>
        <w:t xml:space="preserve">. </w:t>
      </w:r>
      <w:r w:rsidR="00135C6D" w:rsidRPr="00135C6D">
        <w:rPr>
          <w:rFonts w:ascii="Calibri" w:hAnsi="Calibri" w:cs="Arial"/>
          <w:lang w:val="en-US"/>
        </w:rPr>
        <w:t xml:space="preserve">Re-use of </w:t>
      </w:r>
      <w:r>
        <w:rPr>
          <w:rFonts w:ascii="Calibri" w:hAnsi="Calibri" w:cs="Arial"/>
          <w:lang w:val="en-US"/>
        </w:rPr>
        <w:t xml:space="preserve">the </w:t>
      </w:r>
      <w:r w:rsidR="00135C6D" w:rsidRPr="00135C6D">
        <w:rPr>
          <w:rFonts w:ascii="Calibri" w:hAnsi="Calibri" w:cs="Arial"/>
          <w:lang w:val="en-US"/>
        </w:rPr>
        <w:t>existing 5G mid-band (~3.5GHz) site grid for 6G deployments at least around 7</w:t>
      </w:r>
      <w:r>
        <w:rPr>
          <w:rFonts w:ascii="Calibri" w:hAnsi="Calibri" w:cs="Arial"/>
          <w:lang w:val="en-US"/>
        </w:rPr>
        <w:t>-8</w:t>
      </w:r>
      <w:r w:rsidR="00135C6D" w:rsidRPr="00135C6D">
        <w:rPr>
          <w:rFonts w:ascii="Calibri" w:hAnsi="Calibri" w:cs="Arial"/>
          <w:lang w:val="en-US"/>
        </w:rPr>
        <w:t xml:space="preserve"> GHz </w:t>
      </w:r>
      <w:r>
        <w:rPr>
          <w:rFonts w:ascii="Calibri" w:hAnsi="Calibri" w:cs="Arial"/>
          <w:lang w:val="en-US"/>
        </w:rPr>
        <w:t xml:space="preserve">with </w:t>
      </w:r>
      <w:r w:rsidR="00135C6D" w:rsidRPr="00135C6D">
        <w:rPr>
          <w:rFonts w:ascii="Calibri" w:hAnsi="Calibri" w:cs="Arial"/>
          <w:lang w:val="en-US"/>
        </w:rPr>
        <w:t>comparable coverage to 5G mid-band</w:t>
      </w:r>
      <w:r>
        <w:rPr>
          <w:rFonts w:ascii="Calibri" w:hAnsi="Calibri" w:cs="Arial"/>
          <w:lang w:val="en-US"/>
        </w:rPr>
        <w:t xml:space="preserve"> is crucial. </w:t>
      </w:r>
    </w:p>
    <w:p w14:paraId="74F6BFCF" w14:textId="3A2D34D6" w:rsidR="00A87720" w:rsidRPr="00A87720" w:rsidRDefault="00A87720" w:rsidP="00A87720">
      <w:pPr>
        <w:pStyle w:val="maintext"/>
        <w:tabs>
          <w:tab w:val="left" w:pos="3150"/>
        </w:tabs>
        <w:ind w:firstLineChars="90" w:firstLine="180"/>
        <w:rPr>
          <w:rFonts w:ascii="Calibri" w:hAnsi="Calibri" w:cs="Arial"/>
        </w:rPr>
      </w:pPr>
      <w:r w:rsidRPr="00A87720">
        <w:rPr>
          <w:rFonts w:ascii="Calibri" w:hAnsi="Calibri" w:cs="Arial"/>
        </w:rPr>
        <w:t>While 3GPP channel model parameters are used to model equivalent deployment scenarios in various cities for different operators, often the urban nature of different cities differs across countries and across continents. There is, for example, a big difference in the terrain, urban planning</w:t>
      </w:r>
      <w:r w:rsidR="003D6EB6">
        <w:rPr>
          <w:rFonts w:ascii="Calibri" w:hAnsi="Calibri" w:cs="Arial"/>
        </w:rPr>
        <w:t>,</w:t>
      </w:r>
      <w:r w:rsidRPr="00A87720">
        <w:rPr>
          <w:rFonts w:ascii="Calibri" w:hAnsi="Calibri" w:cs="Arial"/>
        </w:rPr>
        <w:t xml:space="preserve"> and consequently deployment scenarios between San Francisco</w:t>
      </w:r>
      <w:r w:rsidR="003D6EB6">
        <w:rPr>
          <w:rFonts w:ascii="Calibri" w:hAnsi="Calibri" w:cs="Arial"/>
        </w:rPr>
        <w:t xml:space="preserve">, </w:t>
      </w:r>
      <w:r w:rsidRPr="00A87720">
        <w:rPr>
          <w:rFonts w:ascii="Calibri" w:hAnsi="Calibri" w:cs="Arial"/>
        </w:rPr>
        <w:t xml:space="preserve">Dallas </w:t>
      </w:r>
      <w:r w:rsidR="0032528B">
        <w:rPr>
          <w:rFonts w:ascii="Calibri" w:hAnsi="Calibri" w:cs="Arial"/>
        </w:rPr>
        <w:t>or</w:t>
      </w:r>
      <w:r w:rsidRPr="00A87720">
        <w:rPr>
          <w:rFonts w:ascii="Calibri" w:hAnsi="Calibri" w:cs="Arial"/>
        </w:rPr>
        <w:t xml:space="preserve"> New York </w:t>
      </w:r>
      <w:r w:rsidR="003D6EB6">
        <w:rPr>
          <w:rFonts w:ascii="Calibri" w:hAnsi="Calibri" w:cs="Arial"/>
        </w:rPr>
        <w:t>C</w:t>
      </w:r>
      <w:r w:rsidRPr="00A87720">
        <w:rPr>
          <w:rFonts w:ascii="Calibri" w:hAnsi="Calibri" w:cs="Arial"/>
        </w:rPr>
        <w:t>ity, as well as a big difference between San Francisco</w:t>
      </w:r>
      <w:r w:rsidR="0032528B">
        <w:rPr>
          <w:rFonts w:ascii="Calibri" w:hAnsi="Calibri" w:cs="Arial"/>
        </w:rPr>
        <w:t xml:space="preserve">, </w:t>
      </w:r>
      <w:r w:rsidRPr="00A87720">
        <w:rPr>
          <w:rFonts w:ascii="Calibri" w:hAnsi="Calibri" w:cs="Arial"/>
        </w:rPr>
        <w:t xml:space="preserve">Prague or Paris. In the United States, a typical inter-site distance in suburban environments is on average around 1700m. The UMa channel model for urban Macro environments assumes a 500m ISD. </w:t>
      </w:r>
    </w:p>
    <w:p w14:paraId="39295A77" w14:textId="7350B850" w:rsidR="00A87720" w:rsidRPr="00A87720" w:rsidRDefault="00A87720" w:rsidP="00A87720">
      <w:pPr>
        <w:pStyle w:val="maintext"/>
        <w:tabs>
          <w:tab w:val="left" w:pos="3150"/>
        </w:tabs>
        <w:ind w:firstLineChars="90" w:firstLine="180"/>
        <w:rPr>
          <w:rFonts w:ascii="Calibri" w:hAnsi="Calibri" w:cs="Arial"/>
        </w:rPr>
      </w:pPr>
      <w:r w:rsidRPr="00A87720">
        <w:rPr>
          <w:rFonts w:ascii="Calibri" w:hAnsi="Calibri" w:cs="Arial"/>
        </w:rPr>
        <w:t xml:space="preserve">A typical city in the United States, outside of the downtown area, which can be </w:t>
      </w:r>
      <w:proofErr w:type="spellStart"/>
      <w:r w:rsidRPr="00A87720">
        <w:rPr>
          <w:rFonts w:ascii="Calibri" w:hAnsi="Calibri" w:cs="Arial"/>
        </w:rPr>
        <w:t>modeled</w:t>
      </w:r>
      <w:proofErr w:type="spellEnd"/>
      <w:r w:rsidRPr="00A87720">
        <w:rPr>
          <w:rFonts w:ascii="Calibri" w:hAnsi="Calibri" w:cs="Arial"/>
        </w:rPr>
        <w:t xml:space="preserve"> as a sub-urban or sometimes urban environment, is characterized by big residential areas of one or two-story buildings, high vegetation, sometimes rising above 25m, and commercial buildings that are 4 floors in height. These types of deployment scenarios are not well captured by the urban macro UMa scenario, used in the ITU-2020 evaluations, nor the rural macro </w:t>
      </w:r>
      <w:proofErr w:type="spellStart"/>
      <w:r w:rsidRPr="00A87720">
        <w:rPr>
          <w:rFonts w:ascii="Calibri" w:hAnsi="Calibri" w:cs="Arial"/>
        </w:rPr>
        <w:t>RMa</w:t>
      </w:r>
      <w:proofErr w:type="spellEnd"/>
      <w:r w:rsidRPr="00A87720">
        <w:rPr>
          <w:rFonts w:ascii="Calibri" w:hAnsi="Calibri" w:cs="Arial"/>
        </w:rPr>
        <w:t xml:space="preserve"> scenario, used to evaluate eMBB in ITU-2020; yet they constitute more than 70% of the deployment configurations in north America.</w:t>
      </w:r>
    </w:p>
    <w:p w14:paraId="58009E90" w14:textId="7FC62133" w:rsidR="00135C6D" w:rsidRPr="00D501C6" w:rsidRDefault="00A87720" w:rsidP="00D501C6">
      <w:pPr>
        <w:pStyle w:val="maintext"/>
        <w:tabs>
          <w:tab w:val="left" w:pos="3150"/>
        </w:tabs>
        <w:ind w:firstLineChars="90" w:firstLine="180"/>
        <w:rPr>
          <w:rFonts w:ascii="Calibri" w:hAnsi="Calibri" w:cs="Arial"/>
        </w:rPr>
      </w:pPr>
      <w:r w:rsidRPr="00A87720">
        <w:rPr>
          <w:rFonts w:ascii="Calibri" w:hAnsi="Calibri" w:cs="Arial"/>
        </w:rPr>
        <w:lastRenderedPageBreak/>
        <w:t xml:space="preserve">In Rel. 19, </w:t>
      </w:r>
      <w:r w:rsidR="00D501C6">
        <w:rPr>
          <w:rFonts w:ascii="Calibri" w:hAnsi="Calibri" w:cs="Arial"/>
        </w:rPr>
        <w:t xml:space="preserve">the </w:t>
      </w:r>
      <w:r w:rsidRPr="00A87720">
        <w:rPr>
          <w:rFonts w:ascii="Calibri" w:hAnsi="Calibri" w:cs="Arial"/>
        </w:rPr>
        <w:t>study item on channel modelling enhancements for 7-24GHz for NR introduce</w:t>
      </w:r>
      <w:r w:rsidR="00BF302C">
        <w:rPr>
          <w:rFonts w:ascii="Calibri" w:hAnsi="Calibri" w:cs="Arial"/>
        </w:rPr>
        <w:t>d</w:t>
      </w:r>
      <w:r w:rsidRPr="00A87720">
        <w:rPr>
          <w:rFonts w:ascii="Calibri" w:hAnsi="Calibri" w:cs="Arial"/>
        </w:rPr>
        <w:t xml:space="preserve"> a new channel model for suburban deployments called </w:t>
      </w:r>
      <w:proofErr w:type="spellStart"/>
      <w:r w:rsidRPr="00A87720">
        <w:rPr>
          <w:rFonts w:ascii="Calibri" w:hAnsi="Calibri" w:cs="Arial"/>
        </w:rPr>
        <w:t>SMa</w:t>
      </w:r>
      <w:proofErr w:type="spellEnd"/>
      <w:r w:rsidRPr="00A87720">
        <w:rPr>
          <w:rFonts w:ascii="Calibri" w:hAnsi="Calibri" w:cs="Arial"/>
        </w:rPr>
        <w:t xml:space="preserve"> – suburban macro scenario. The suburban macro scenario captures all the deployment characteristics for a suburban macro scenario, including the inter-site distance, the base station height and the nature of the clutter in these environments. </w:t>
      </w:r>
      <w:r w:rsidR="00BF302C">
        <w:rPr>
          <w:rFonts w:ascii="Calibri" w:hAnsi="Calibri" w:cs="Arial"/>
        </w:rPr>
        <w:t xml:space="preserve">The details of the </w:t>
      </w:r>
      <w:proofErr w:type="spellStart"/>
      <w:r w:rsidR="00BF302C">
        <w:rPr>
          <w:rFonts w:ascii="Calibri" w:hAnsi="Calibri" w:cs="Arial"/>
        </w:rPr>
        <w:t>SMa</w:t>
      </w:r>
      <w:proofErr w:type="spellEnd"/>
      <w:r w:rsidR="00BF302C">
        <w:rPr>
          <w:rFonts w:ascii="Calibri" w:hAnsi="Calibri" w:cs="Arial"/>
        </w:rPr>
        <w:t xml:space="preserve"> channel model were finalized in Rel. 19 as part of the study item and can be readily used for </w:t>
      </w:r>
      <w:r w:rsidR="00C15E15">
        <w:rPr>
          <w:rFonts w:ascii="Calibri" w:hAnsi="Calibri" w:cs="Arial"/>
        </w:rPr>
        <w:t>evaluations in 6G SIs and WIs as needed.</w:t>
      </w:r>
      <w:r w:rsidRPr="00A87720">
        <w:rPr>
          <w:rFonts w:ascii="Calibri" w:hAnsi="Calibri" w:cs="Arial"/>
        </w:rPr>
        <w:t xml:space="preserve"> It is thus very important to include this model in the evaluations of capabilities for IMT-2030, for all the considered frequencies, and all relevant usage scenarios.  </w:t>
      </w:r>
    </w:p>
    <w:p w14:paraId="03660E04" w14:textId="77777777" w:rsidR="005433F1" w:rsidRDefault="005433F1" w:rsidP="009B15A2">
      <w:pPr>
        <w:pStyle w:val="maintext"/>
        <w:tabs>
          <w:tab w:val="left" w:pos="3150"/>
        </w:tabs>
        <w:ind w:firstLineChars="90" w:firstLine="180"/>
        <w:rPr>
          <w:rFonts w:ascii="Calibri" w:hAnsi="Calibri" w:cs="Arial"/>
          <w:lang w:val="en-US"/>
        </w:rPr>
      </w:pPr>
    </w:p>
    <w:p w14:paraId="5EEF08AE" w14:textId="5C798C3B" w:rsidR="005433F1" w:rsidRPr="005433F1" w:rsidRDefault="005433F1" w:rsidP="005433F1">
      <w:pPr>
        <w:pStyle w:val="Heading2"/>
        <w:rPr>
          <w:lang w:val="en-GB"/>
        </w:rPr>
      </w:pPr>
      <w:r>
        <w:rPr>
          <w:lang w:val="en-GB"/>
        </w:rPr>
        <w:t>F</w:t>
      </w:r>
      <w:r w:rsidRPr="005433F1">
        <w:rPr>
          <w:lang w:val="en-GB"/>
        </w:rPr>
        <w:t xml:space="preserve">orward </w:t>
      </w:r>
      <w:r>
        <w:rPr>
          <w:lang w:val="en-GB"/>
        </w:rPr>
        <w:t>C</w:t>
      </w:r>
      <w:r w:rsidRPr="005433F1">
        <w:rPr>
          <w:lang w:val="en-GB"/>
        </w:rPr>
        <w:t xml:space="preserve">ompatible </w:t>
      </w:r>
      <w:r>
        <w:rPr>
          <w:lang w:val="en-GB"/>
        </w:rPr>
        <w:t>D</w:t>
      </w:r>
      <w:r w:rsidRPr="005433F1">
        <w:rPr>
          <w:lang w:val="en-GB"/>
        </w:rPr>
        <w:t xml:space="preserve">esign for </w:t>
      </w:r>
      <w:r>
        <w:rPr>
          <w:lang w:val="en-GB"/>
        </w:rPr>
        <w:t>D</w:t>
      </w:r>
      <w:r w:rsidRPr="005433F1">
        <w:rPr>
          <w:lang w:val="en-GB"/>
        </w:rPr>
        <w:t xml:space="preserve">iverse </w:t>
      </w:r>
      <w:r>
        <w:rPr>
          <w:lang w:val="en-GB"/>
        </w:rPr>
        <w:t>D</w:t>
      </w:r>
      <w:r w:rsidRPr="005433F1">
        <w:rPr>
          <w:lang w:val="en-GB"/>
        </w:rPr>
        <w:t xml:space="preserve">evice </w:t>
      </w:r>
      <w:r>
        <w:rPr>
          <w:lang w:val="en-GB"/>
        </w:rPr>
        <w:t>T</w:t>
      </w:r>
      <w:r w:rsidRPr="005433F1">
        <w:rPr>
          <w:lang w:val="en-GB"/>
        </w:rPr>
        <w:t>ypes</w:t>
      </w:r>
    </w:p>
    <w:p w14:paraId="06FA221C" w14:textId="7E6D86DD" w:rsidR="005433F1" w:rsidRDefault="00D86F71" w:rsidP="009B15A2">
      <w:pPr>
        <w:pStyle w:val="maintext"/>
        <w:tabs>
          <w:tab w:val="left" w:pos="3150"/>
        </w:tabs>
        <w:ind w:firstLineChars="90" w:firstLine="180"/>
        <w:rPr>
          <w:rFonts w:ascii="Calibri" w:hAnsi="Calibri" w:cs="Arial"/>
          <w:lang w:val="en-US"/>
        </w:rPr>
      </w:pPr>
      <w:r w:rsidRPr="00D86F71">
        <w:rPr>
          <w:rFonts w:ascii="Calibri" w:hAnsi="Calibri" w:cs="Arial"/>
          <w:lang w:val="en-US"/>
        </w:rPr>
        <w:t>Our detailed views can be found in our companion contribution in [</w:t>
      </w:r>
      <w:r>
        <w:rPr>
          <w:rFonts w:ascii="Calibri" w:hAnsi="Calibri" w:cs="Arial"/>
          <w:lang w:val="en-US"/>
        </w:rPr>
        <w:t>4</w:t>
      </w:r>
      <w:r w:rsidRPr="00D86F71">
        <w:rPr>
          <w:rFonts w:ascii="Calibri" w:hAnsi="Calibri" w:cs="Arial"/>
          <w:lang w:val="en-US"/>
        </w:rPr>
        <w:t>] and are summarized as follows:</w:t>
      </w:r>
    </w:p>
    <w:tbl>
      <w:tblPr>
        <w:tblStyle w:val="TableGrid"/>
        <w:tblW w:w="0" w:type="auto"/>
        <w:tblLook w:val="04A0" w:firstRow="1" w:lastRow="0" w:firstColumn="1" w:lastColumn="0" w:noHBand="0" w:noVBand="1"/>
      </w:tblPr>
      <w:tblGrid>
        <w:gridCol w:w="10070"/>
      </w:tblGrid>
      <w:tr w:rsidR="00DB190D" w14:paraId="6FC70C90" w14:textId="77777777">
        <w:tc>
          <w:tcPr>
            <w:tcW w:w="0" w:type="auto"/>
          </w:tcPr>
          <w:p w14:paraId="1E3EF198" w14:textId="29488F8C" w:rsidR="00DB190D" w:rsidRDefault="00DB190D" w:rsidP="009B15A2">
            <w:pPr>
              <w:pStyle w:val="maintext"/>
              <w:tabs>
                <w:tab w:val="left" w:pos="3150"/>
              </w:tabs>
              <w:ind w:firstLineChars="0" w:firstLine="0"/>
              <w:rPr>
                <w:rFonts w:ascii="Calibri" w:hAnsi="Calibri" w:cs="Arial"/>
                <w:lang w:val="en-US"/>
              </w:rPr>
            </w:pPr>
            <w:r>
              <w:rPr>
                <w:rFonts w:ascii="Calibri" w:hAnsi="Calibri" w:cs="Arial"/>
              </w:rPr>
              <w:t xml:space="preserve">The </w:t>
            </w:r>
            <w:r w:rsidRPr="00A72AB6">
              <w:rPr>
                <w:rFonts w:ascii="Calibri" w:hAnsi="Calibri" w:cs="Arial"/>
              </w:rPr>
              <w:t xml:space="preserve">6G </w:t>
            </w:r>
            <w:r>
              <w:rPr>
                <w:rFonts w:ascii="Calibri" w:hAnsi="Calibri" w:cs="Arial"/>
              </w:rPr>
              <w:t xml:space="preserve">RAN and 6G Radio </w:t>
            </w:r>
            <w:r w:rsidRPr="00A72AB6">
              <w:rPr>
                <w:rFonts w:ascii="Calibri" w:hAnsi="Calibri" w:cs="Arial"/>
              </w:rPr>
              <w:t>should be designed bottom-up, meaning a single RAT is scaled from a minimum set of KPIs, and resources are allocated upwards to the most demanding ones.</w:t>
            </w:r>
            <w:r>
              <w:rPr>
                <w:rFonts w:ascii="Calibri" w:hAnsi="Calibri" w:cs="Arial"/>
              </w:rPr>
              <w:t xml:space="preserve"> The 6G RAN and 6G Radio should enable</w:t>
            </w:r>
            <w:r w:rsidRPr="00A72AB6">
              <w:rPr>
                <w:rFonts w:ascii="Calibri" w:hAnsi="Calibri" w:cs="Arial"/>
              </w:rPr>
              <w:t xml:space="preserve"> a platform </w:t>
            </w:r>
            <w:r>
              <w:rPr>
                <w:rFonts w:ascii="Calibri" w:hAnsi="Calibri" w:cs="Arial"/>
              </w:rPr>
              <w:t xml:space="preserve">comprising </w:t>
            </w:r>
            <w:r w:rsidRPr="00A72AB6">
              <w:rPr>
                <w:rFonts w:ascii="Calibri" w:hAnsi="Calibri" w:cs="Arial"/>
              </w:rPr>
              <w:t xml:space="preserve">one set of specifications that support all use cases with minimum customization and </w:t>
            </w:r>
            <w:r>
              <w:rPr>
                <w:rFonts w:ascii="Calibri" w:hAnsi="Calibri" w:cs="Arial"/>
              </w:rPr>
              <w:t>large degrees of</w:t>
            </w:r>
            <w:r w:rsidRPr="00A72AB6">
              <w:rPr>
                <w:rFonts w:ascii="Calibri" w:hAnsi="Calibri" w:cs="Arial"/>
              </w:rPr>
              <w:t xml:space="preserve"> economy of scale.</w:t>
            </w:r>
            <w:r>
              <w:rPr>
                <w:rFonts w:ascii="Calibri" w:hAnsi="Calibri" w:cs="Arial"/>
              </w:rPr>
              <w:t xml:space="preserve"> </w:t>
            </w:r>
            <w:r w:rsidRPr="00A72AB6">
              <w:rPr>
                <w:rFonts w:ascii="Calibri" w:hAnsi="Calibri" w:cs="Arial"/>
              </w:rPr>
              <w:t>Because crucial design questions can most efficiently be decided in the first release of 6G, 6G LPWA must be specified in the</w:t>
            </w:r>
            <w:r>
              <w:rPr>
                <w:rFonts w:ascii="Calibri" w:hAnsi="Calibri" w:cs="Arial"/>
              </w:rPr>
              <w:t xml:space="preserve"> first release of 6G. 6G LPWA here refers to the evolution of 5G </w:t>
            </w:r>
            <w:proofErr w:type="spellStart"/>
            <w:r>
              <w:rPr>
                <w:rFonts w:ascii="Calibri" w:hAnsi="Calibri" w:cs="Arial"/>
              </w:rPr>
              <w:t>eMTC</w:t>
            </w:r>
            <w:proofErr w:type="spellEnd"/>
            <w:r>
              <w:rPr>
                <w:rFonts w:ascii="Calibri" w:hAnsi="Calibri" w:cs="Arial"/>
              </w:rPr>
              <w:t xml:space="preserve"> as specified in 3GPP, and KPIs should meaningfully differ from (e)RedCap. S</w:t>
            </w:r>
            <w:r w:rsidRPr="002B0A7E">
              <w:rPr>
                <w:rFonts w:ascii="Calibri" w:hAnsi="Calibri" w:cs="Arial"/>
              </w:rPr>
              <w:t xml:space="preserve">olutions </w:t>
            </w:r>
            <w:r>
              <w:rPr>
                <w:rFonts w:ascii="Calibri" w:hAnsi="Calibri" w:cs="Arial"/>
              </w:rPr>
              <w:t xml:space="preserve">should be designed to </w:t>
            </w:r>
            <w:r w:rsidRPr="002B0A7E">
              <w:rPr>
                <w:rFonts w:ascii="Calibri" w:hAnsi="Calibri" w:cs="Arial"/>
              </w:rPr>
              <w:t xml:space="preserve">last across technology generations in the </w:t>
            </w:r>
            <w:r>
              <w:rPr>
                <w:rFonts w:ascii="Calibri" w:hAnsi="Calibri" w:cs="Arial"/>
              </w:rPr>
              <w:t>c</w:t>
            </w:r>
            <w:r w:rsidRPr="002B0A7E">
              <w:rPr>
                <w:rFonts w:ascii="Calibri" w:hAnsi="Calibri" w:cs="Arial"/>
              </w:rPr>
              <w:t xml:space="preserve">ore </w:t>
            </w:r>
            <w:r>
              <w:rPr>
                <w:rFonts w:ascii="Calibri" w:hAnsi="Calibri" w:cs="Arial"/>
              </w:rPr>
              <w:t>n</w:t>
            </w:r>
            <w:r w:rsidRPr="002B0A7E">
              <w:rPr>
                <w:rFonts w:ascii="Calibri" w:hAnsi="Calibri" w:cs="Arial"/>
              </w:rPr>
              <w:t xml:space="preserve">etwork, the RAN, and in overlapping spectrum with significantly improved efficiency compared to DSS between 5G and </w:t>
            </w:r>
            <w:proofErr w:type="spellStart"/>
            <w:r w:rsidRPr="002B0A7E">
              <w:rPr>
                <w:rFonts w:ascii="Calibri" w:hAnsi="Calibri" w:cs="Arial"/>
              </w:rPr>
              <w:t>eMTC</w:t>
            </w:r>
            <w:proofErr w:type="spellEnd"/>
            <w:r w:rsidRPr="002B0A7E">
              <w:rPr>
                <w:rFonts w:ascii="Calibri" w:hAnsi="Calibri" w:cs="Arial"/>
              </w:rPr>
              <w:t>.</w:t>
            </w:r>
          </w:p>
        </w:tc>
      </w:tr>
    </w:tbl>
    <w:p w14:paraId="78009177" w14:textId="77777777" w:rsidR="005433F1" w:rsidRDefault="005433F1" w:rsidP="009B15A2">
      <w:pPr>
        <w:pStyle w:val="maintext"/>
        <w:tabs>
          <w:tab w:val="left" w:pos="3150"/>
        </w:tabs>
        <w:ind w:firstLineChars="90" w:firstLine="180"/>
        <w:rPr>
          <w:rFonts w:ascii="Calibri" w:hAnsi="Calibri" w:cs="Arial"/>
          <w:lang w:val="en-US"/>
        </w:rPr>
      </w:pPr>
    </w:p>
    <w:p w14:paraId="5C848173" w14:textId="5E4286FE" w:rsidR="005433F1" w:rsidRPr="00514B27" w:rsidRDefault="00514B27" w:rsidP="00514B27">
      <w:pPr>
        <w:pStyle w:val="Heading2"/>
        <w:rPr>
          <w:lang w:val="en-GB"/>
        </w:rPr>
      </w:pPr>
      <w:r w:rsidRPr="00514B27">
        <w:rPr>
          <w:lang w:val="en-GB"/>
        </w:rPr>
        <w:t>Waveform</w:t>
      </w:r>
      <w:r w:rsidR="004224DB">
        <w:rPr>
          <w:lang w:val="en-GB"/>
        </w:rPr>
        <w:t>,</w:t>
      </w:r>
      <w:r w:rsidRPr="00514B27">
        <w:rPr>
          <w:lang w:val="en-GB"/>
        </w:rPr>
        <w:t xml:space="preserve"> </w:t>
      </w:r>
      <w:r>
        <w:rPr>
          <w:lang w:val="en-GB"/>
        </w:rPr>
        <w:t>M</w:t>
      </w:r>
      <w:r w:rsidRPr="00514B27">
        <w:rPr>
          <w:lang w:val="en-GB"/>
        </w:rPr>
        <w:t>odulation</w:t>
      </w:r>
      <w:r w:rsidR="004224DB">
        <w:rPr>
          <w:lang w:val="en-GB"/>
        </w:rPr>
        <w:t xml:space="preserve">, </w:t>
      </w:r>
      <w:r w:rsidR="004224DB" w:rsidRPr="004224DB">
        <w:t xml:space="preserve">Frame </w:t>
      </w:r>
      <w:r w:rsidR="004224DB">
        <w:t>S</w:t>
      </w:r>
      <w:r w:rsidR="004224DB" w:rsidRPr="004224DB">
        <w:t>tructure</w:t>
      </w:r>
      <w:r w:rsidR="004224DB">
        <w:t xml:space="preserve">, and </w:t>
      </w:r>
      <w:r w:rsidR="003330BC">
        <w:t>Channel Coding</w:t>
      </w:r>
    </w:p>
    <w:p w14:paraId="7D082E36" w14:textId="77777777" w:rsidR="00DB190D" w:rsidRDefault="00DB190D" w:rsidP="00DB190D">
      <w:pPr>
        <w:pStyle w:val="maintext"/>
        <w:tabs>
          <w:tab w:val="left" w:pos="3150"/>
        </w:tabs>
        <w:ind w:firstLineChars="90" w:firstLine="180"/>
        <w:rPr>
          <w:rFonts w:ascii="Calibri" w:hAnsi="Calibri" w:cs="Arial"/>
        </w:rPr>
      </w:pPr>
      <w:r>
        <w:rPr>
          <w:rFonts w:ascii="Calibri" w:hAnsi="Calibri" w:cs="Arial"/>
        </w:rPr>
        <w:t>Our detailed views can be found in our companion contribution in [1] and are summarized as follows:</w:t>
      </w:r>
    </w:p>
    <w:tbl>
      <w:tblPr>
        <w:tblStyle w:val="TableGrid"/>
        <w:tblW w:w="0" w:type="auto"/>
        <w:tblLook w:val="04A0" w:firstRow="1" w:lastRow="0" w:firstColumn="1" w:lastColumn="0" w:noHBand="0" w:noVBand="1"/>
      </w:tblPr>
      <w:tblGrid>
        <w:gridCol w:w="10070"/>
      </w:tblGrid>
      <w:tr w:rsidR="00DB190D" w14:paraId="725F7C6C" w14:textId="77777777" w:rsidTr="008E499B">
        <w:tc>
          <w:tcPr>
            <w:tcW w:w="0" w:type="auto"/>
          </w:tcPr>
          <w:p w14:paraId="3DE1C474" w14:textId="77777777" w:rsidR="00DB190D" w:rsidRDefault="00DB190D" w:rsidP="008E499B">
            <w:pPr>
              <w:spacing w:after="60" w:line="288" w:lineRule="auto"/>
              <w:ind w:firstLineChars="90" w:firstLine="180"/>
              <w:jc w:val="left"/>
              <w:rPr>
                <w:rFonts w:ascii="Calibri" w:eastAsia="Malgun Gothic" w:hAnsi="Calibri" w:cs="Arial"/>
                <w:lang w:eastAsia="ko-KR"/>
              </w:rPr>
            </w:pPr>
            <w:r w:rsidRPr="00044957">
              <w:rPr>
                <w:rFonts w:ascii="Calibri" w:eastAsia="Malgun Gothic" w:hAnsi="Calibri" w:cs="Arial"/>
                <w:lang w:eastAsia="ko-KR"/>
              </w:rPr>
              <w:t xml:space="preserve">3GPP </w:t>
            </w:r>
            <w:r>
              <w:rPr>
                <w:rFonts w:ascii="Calibri" w:eastAsia="Malgun Gothic" w:hAnsi="Calibri" w:cs="Arial"/>
                <w:lang w:eastAsia="ko-KR"/>
              </w:rPr>
              <w:t xml:space="preserve">TSG </w:t>
            </w:r>
            <w:r w:rsidRPr="00044957">
              <w:rPr>
                <w:rFonts w:ascii="Calibri" w:eastAsia="Malgun Gothic" w:hAnsi="Calibri" w:cs="Arial"/>
                <w:lang w:eastAsia="ko-KR"/>
              </w:rPr>
              <w:t xml:space="preserve">RAN </w:t>
            </w:r>
            <w:r>
              <w:rPr>
                <w:rFonts w:ascii="Calibri" w:eastAsia="Malgun Gothic" w:hAnsi="Calibri" w:cs="Arial"/>
                <w:lang w:eastAsia="ko-KR"/>
              </w:rPr>
              <w:t>working groups</w:t>
            </w:r>
            <w:r w:rsidRPr="00044957">
              <w:rPr>
                <w:rFonts w:ascii="Calibri" w:eastAsia="Malgun Gothic" w:hAnsi="Calibri" w:cs="Arial"/>
                <w:lang w:eastAsia="ko-KR"/>
              </w:rPr>
              <w:t xml:space="preserve"> should discuss how </w:t>
            </w:r>
            <w:r>
              <w:rPr>
                <w:rFonts w:ascii="Calibri" w:eastAsia="Malgun Gothic" w:hAnsi="Calibri" w:cs="Arial"/>
                <w:lang w:eastAsia="ko-KR"/>
              </w:rPr>
              <w:t xml:space="preserve">to </w:t>
            </w:r>
            <w:r w:rsidRPr="00044957">
              <w:rPr>
                <w:rFonts w:ascii="Calibri" w:eastAsia="Malgun Gothic" w:hAnsi="Calibri" w:cs="Arial"/>
                <w:lang w:eastAsia="ko-KR"/>
              </w:rPr>
              <w:t>meaningfully differentiate between software vs. hardware</w:t>
            </w:r>
            <w:r>
              <w:rPr>
                <w:rFonts w:ascii="Calibri" w:eastAsia="Malgun Gothic" w:hAnsi="Calibri" w:cs="Arial"/>
                <w:lang w:eastAsia="ko-KR"/>
              </w:rPr>
              <w:t xml:space="preserve"> to assess the </w:t>
            </w:r>
            <w:r w:rsidRPr="00044957">
              <w:rPr>
                <w:rFonts w:ascii="Calibri" w:eastAsia="Malgun Gothic" w:hAnsi="Calibri" w:cs="Arial"/>
                <w:lang w:eastAsia="ko-KR"/>
              </w:rPr>
              <w:t>impact</w:t>
            </w:r>
            <w:r>
              <w:rPr>
                <w:rFonts w:ascii="Calibri" w:eastAsia="Malgun Gothic" w:hAnsi="Calibri" w:cs="Arial"/>
                <w:lang w:eastAsia="ko-KR"/>
              </w:rPr>
              <w:t xml:space="preserve"> of</w:t>
            </w:r>
            <w:r w:rsidRPr="00044957">
              <w:rPr>
                <w:rFonts w:ascii="Calibri" w:eastAsia="Malgun Gothic" w:hAnsi="Calibri" w:cs="Arial"/>
                <w:lang w:eastAsia="ko-KR"/>
              </w:rPr>
              <w:t xml:space="preserve"> non-backward compatible changes</w:t>
            </w:r>
            <w:r>
              <w:rPr>
                <w:rFonts w:ascii="Calibri" w:eastAsia="Malgun Gothic" w:hAnsi="Calibri" w:cs="Arial"/>
                <w:lang w:eastAsia="ko-KR"/>
              </w:rPr>
              <w:t xml:space="preserve"> such that </w:t>
            </w:r>
            <w:r w:rsidRPr="00267F2D">
              <w:rPr>
                <w:rFonts w:ascii="Calibri" w:eastAsia="Malgun Gothic" w:hAnsi="Calibri" w:cs="Arial"/>
                <w:lang w:eastAsia="ko-KR"/>
              </w:rPr>
              <w:t xml:space="preserve">6G deployment </w:t>
            </w:r>
            <w:r>
              <w:rPr>
                <w:rFonts w:ascii="Calibri" w:eastAsia="Malgun Gothic" w:hAnsi="Calibri" w:cs="Arial"/>
                <w:lang w:eastAsia="ko-KR"/>
              </w:rPr>
              <w:t>does</w:t>
            </w:r>
            <w:r w:rsidRPr="00267F2D">
              <w:rPr>
                <w:rFonts w:ascii="Calibri" w:eastAsia="Malgun Gothic" w:hAnsi="Calibri" w:cs="Arial"/>
                <w:lang w:eastAsia="ko-KR"/>
              </w:rPr>
              <w:t xml:space="preserve"> not require complete overhaul of hardware to realize benefits</w:t>
            </w:r>
            <w:r>
              <w:rPr>
                <w:rFonts w:ascii="Calibri" w:eastAsia="Malgun Gothic" w:hAnsi="Calibri" w:cs="Arial"/>
                <w:lang w:eastAsia="ko-KR"/>
              </w:rPr>
              <w:t xml:space="preserve">. </w:t>
            </w:r>
            <w:r w:rsidRPr="00267F2D">
              <w:rPr>
                <w:rFonts w:ascii="Calibri" w:eastAsia="Malgun Gothic" w:hAnsi="Calibri" w:cs="Arial"/>
                <w:lang w:eastAsia="ko-KR"/>
              </w:rPr>
              <w:t>3GPP should facilitate software-driven 6G deployment with existing open radios in legacy bands leveraging efficient 5G-6G MRSS, where and when needed</w:t>
            </w:r>
            <w:r>
              <w:rPr>
                <w:rFonts w:ascii="Calibri" w:eastAsia="Malgun Gothic" w:hAnsi="Calibri" w:cs="Arial"/>
                <w:lang w:eastAsia="ko-KR"/>
              </w:rPr>
              <w:t xml:space="preserve">. </w:t>
            </w:r>
            <w:r w:rsidRPr="00267F2D">
              <w:rPr>
                <w:rFonts w:ascii="Calibri" w:eastAsia="Malgun Gothic" w:hAnsi="Calibri" w:cs="Arial"/>
                <w:lang w:eastAsia="ko-KR"/>
              </w:rPr>
              <w:t>3GPP RAN working groups should study the full capability of 6G when radios are refreshed in existing or new greenfield bands as necessitated by actual needs</w:t>
            </w:r>
            <w:r>
              <w:rPr>
                <w:rFonts w:ascii="Calibri" w:eastAsia="Malgun Gothic" w:hAnsi="Calibri" w:cs="Arial"/>
                <w:lang w:eastAsia="ko-KR"/>
              </w:rPr>
              <w:t>. Specifically, t</w:t>
            </w:r>
            <w:r w:rsidRPr="00267F2D">
              <w:rPr>
                <w:rFonts w:ascii="Calibri" w:eastAsia="Malgun Gothic" w:hAnsi="Calibri" w:cs="Arial"/>
                <w:lang w:eastAsia="ko-KR"/>
              </w:rPr>
              <w:t>he UE shall always assume a base station deploys new 6G hardware. A UE shall be completely oblivious as to whether a given base station uses “capable 5G RAN infrastructure” or a new 6G radio.</w:t>
            </w:r>
            <w:r>
              <w:rPr>
                <w:rFonts w:ascii="Calibri" w:eastAsia="Malgun Gothic" w:hAnsi="Calibri" w:cs="Arial"/>
                <w:lang w:eastAsia="ko-KR"/>
              </w:rPr>
              <w:t xml:space="preserve"> </w:t>
            </w:r>
            <w:r w:rsidRPr="00267F2D">
              <w:rPr>
                <w:rFonts w:ascii="Calibri" w:eastAsia="Malgun Gothic" w:hAnsi="Calibri" w:cs="Arial"/>
                <w:lang w:eastAsia="ko-KR"/>
              </w:rPr>
              <w:t xml:space="preserve">After network attach, through RRC (re)configuration, a vast number of novel waveform designs, modulations, and coding schemes could be </w:t>
            </w:r>
            <w:r>
              <w:rPr>
                <w:rFonts w:ascii="Calibri" w:eastAsia="Malgun Gothic" w:hAnsi="Calibri" w:cs="Arial"/>
                <w:lang w:eastAsia="ko-KR"/>
              </w:rPr>
              <w:t>considered</w:t>
            </w:r>
            <w:r w:rsidRPr="00267F2D">
              <w:rPr>
                <w:rFonts w:ascii="Calibri" w:eastAsia="Malgun Gothic" w:hAnsi="Calibri" w:cs="Arial"/>
                <w:lang w:eastAsia="ko-KR"/>
              </w:rPr>
              <w:t xml:space="preserve">, </w:t>
            </w:r>
            <w:proofErr w:type="gramStart"/>
            <w:r w:rsidRPr="00267F2D">
              <w:rPr>
                <w:rFonts w:ascii="Calibri" w:eastAsia="Malgun Gothic" w:hAnsi="Calibri" w:cs="Arial"/>
                <w:lang w:eastAsia="ko-KR"/>
              </w:rPr>
              <w:t>as long as</w:t>
            </w:r>
            <w:proofErr w:type="gramEnd"/>
            <w:r w:rsidRPr="00267F2D">
              <w:rPr>
                <w:rFonts w:ascii="Calibri" w:eastAsia="Malgun Gothic" w:hAnsi="Calibri" w:cs="Arial"/>
                <w:lang w:eastAsia="ko-KR"/>
              </w:rPr>
              <w:t xml:space="preserve"> they </w:t>
            </w:r>
            <w:r>
              <w:rPr>
                <w:rFonts w:ascii="Calibri" w:eastAsia="Malgun Gothic" w:hAnsi="Calibri" w:cs="Arial"/>
                <w:lang w:eastAsia="ko-KR"/>
              </w:rPr>
              <w:t xml:space="preserve">can </w:t>
            </w:r>
            <w:r w:rsidRPr="00267F2D">
              <w:rPr>
                <w:rFonts w:ascii="Calibri" w:eastAsia="Malgun Gothic" w:hAnsi="Calibri" w:cs="Arial"/>
                <w:lang w:eastAsia="ko-KR"/>
              </w:rPr>
              <w:t>coexist with the OFDM time-frequency grid as specified in 5G NR.</w:t>
            </w:r>
            <w:r>
              <w:rPr>
                <w:rFonts w:ascii="Calibri" w:eastAsia="Malgun Gothic" w:hAnsi="Calibri" w:cs="Arial"/>
                <w:lang w:eastAsia="ko-KR"/>
              </w:rPr>
              <w:t xml:space="preserve"> </w:t>
            </w:r>
            <w:r w:rsidRPr="00807E2D">
              <w:rPr>
                <w:rFonts w:ascii="Calibri" w:eastAsia="Malgun Gothic" w:hAnsi="Calibri" w:cs="Arial"/>
                <w:lang w:eastAsia="ko-KR"/>
              </w:rPr>
              <w:t xml:space="preserve">By guaranteeing that the UE always assumes a base station deploys new hardware the pitfalls </w:t>
            </w:r>
            <w:proofErr w:type="gramStart"/>
            <w:r w:rsidRPr="004A74FD">
              <w:rPr>
                <w:rFonts w:ascii="Calibri" w:eastAsia="Malgun Gothic" w:hAnsi="Calibri" w:cs="Arial"/>
                <w:bCs/>
                <w:iCs/>
                <w:lang w:eastAsia="ko-KR"/>
              </w:rPr>
              <w:t>similar to</w:t>
            </w:r>
            <w:proofErr w:type="gramEnd"/>
            <w:r w:rsidRPr="004A74FD">
              <w:rPr>
                <w:rFonts w:ascii="Calibri" w:eastAsia="Malgun Gothic" w:hAnsi="Calibri" w:cs="Arial"/>
                <w:lang w:eastAsia="ko-KR"/>
              </w:rPr>
              <w:t xml:space="preserve"> </w:t>
            </w:r>
            <w:r w:rsidRPr="00807E2D">
              <w:rPr>
                <w:rFonts w:ascii="Calibri" w:eastAsia="Malgun Gothic" w:hAnsi="Calibri" w:cs="Arial"/>
                <w:lang w:eastAsia="ko-KR"/>
              </w:rPr>
              <w:t xml:space="preserve">5G NSA are avoided where a UE was aware of whether 5G was rolled out as NSA or SA. This requirement is thus key to ensuring </w:t>
            </w:r>
            <w:r>
              <w:rPr>
                <w:rFonts w:ascii="Calibri" w:eastAsia="Malgun Gothic" w:hAnsi="Calibri" w:cs="Arial"/>
                <w:lang w:eastAsia="ko-KR"/>
              </w:rPr>
              <w:t xml:space="preserve">the principle of </w:t>
            </w:r>
            <w:r w:rsidRPr="00807E2D">
              <w:rPr>
                <w:rFonts w:ascii="Calibri" w:eastAsia="Malgun Gothic" w:hAnsi="Calibri" w:cs="Arial"/>
                <w:lang w:eastAsia="ko-KR"/>
              </w:rPr>
              <w:t>a single branch of 6G standards development.</w:t>
            </w:r>
          </w:p>
          <w:p w14:paraId="193A7321" w14:textId="77777777" w:rsidR="00DB190D" w:rsidRDefault="00DB190D" w:rsidP="008E499B">
            <w:pPr>
              <w:pStyle w:val="maintext"/>
              <w:tabs>
                <w:tab w:val="left" w:pos="3150"/>
              </w:tabs>
              <w:ind w:firstLineChars="0" w:firstLine="0"/>
              <w:rPr>
                <w:rFonts w:ascii="Calibri" w:hAnsi="Calibri" w:cs="Arial"/>
              </w:rPr>
            </w:pPr>
            <w:r w:rsidRPr="008F22BF">
              <w:rPr>
                <w:rFonts w:ascii="Calibri" w:hAnsi="Calibri" w:cs="Arial"/>
              </w:rPr>
              <w:t xml:space="preserve">The vision of a software-based 6G rollout with needs-based hardware refresh is consequently perfectly congruent with the </w:t>
            </w:r>
            <w:r>
              <w:rPr>
                <w:rFonts w:ascii="Calibri" w:hAnsi="Calibri" w:cs="Arial"/>
              </w:rPr>
              <w:t>desire</w:t>
            </w:r>
            <w:r w:rsidRPr="008F22BF">
              <w:rPr>
                <w:rFonts w:ascii="Calibri" w:hAnsi="Calibri" w:cs="Arial"/>
              </w:rPr>
              <w:t xml:space="preserve"> </w:t>
            </w:r>
            <w:r>
              <w:rPr>
                <w:rFonts w:ascii="Calibri" w:hAnsi="Calibri" w:cs="Arial"/>
              </w:rPr>
              <w:t xml:space="preserve">for </w:t>
            </w:r>
            <w:r w:rsidRPr="008F22BF">
              <w:rPr>
                <w:rFonts w:ascii="Calibri" w:hAnsi="Calibri" w:cs="Arial"/>
              </w:rPr>
              <w:t xml:space="preserve">3GPP RAN working groups </w:t>
            </w:r>
            <w:r>
              <w:rPr>
                <w:rFonts w:ascii="Calibri" w:hAnsi="Calibri" w:cs="Arial"/>
              </w:rPr>
              <w:t xml:space="preserve">to </w:t>
            </w:r>
            <w:r w:rsidRPr="008F22BF">
              <w:rPr>
                <w:rFonts w:ascii="Calibri" w:hAnsi="Calibri" w:cs="Arial"/>
              </w:rPr>
              <w:t>study the full capability of 6G when radios are refreshed</w:t>
            </w:r>
            <w:r>
              <w:rPr>
                <w:rFonts w:ascii="Calibri" w:hAnsi="Calibri" w:cs="Arial"/>
              </w:rPr>
              <w:t xml:space="preserve"> (</w:t>
            </w:r>
            <w:r w:rsidRPr="008F22BF">
              <w:rPr>
                <w:rFonts w:ascii="Calibri" w:hAnsi="Calibri" w:cs="Arial"/>
                <w:bCs/>
                <w:iCs/>
              </w:rPr>
              <w:t>waveform design, modulation, coding schemes</w:t>
            </w:r>
            <w:r>
              <w:rPr>
                <w:rFonts w:ascii="Calibri" w:hAnsi="Calibri" w:cs="Arial"/>
                <w:bCs/>
                <w:iCs/>
              </w:rPr>
              <w:t xml:space="preserve"> …</w:t>
            </w:r>
            <w:r>
              <w:rPr>
                <w:rFonts w:ascii="Calibri" w:hAnsi="Calibri" w:cs="Arial"/>
              </w:rPr>
              <w:t>)</w:t>
            </w:r>
            <w:r w:rsidRPr="008F22BF">
              <w:rPr>
                <w:rFonts w:ascii="Calibri" w:hAnsi="Calibri" w:cs="Arial"/>
              </w:rPr>
              <w:t>.</w:t>
            </w:r>
            <w:r>
              <w:rPr>
                <w:rFonts w:ascii="Calibri" w:hAnsi="Calibri" w:cs="Arial"/>
              </w:rPr>
              <w:t xml:space="preserve"> </w:t>
            </w:r>
            <w:r w:rsidRPr="008F22BF">
              <w:rPr>
                <w:rFonts w:ascii="Calibri" w:hAnsi="Calibri" w:cs="Arial"/>
              </w:rPr>
              <w:t>Software-based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p>
        </w:tc>
      </w:tr>
    </w:tbl>
    <w:p w14:paraId="21A06151" w14:textId="77777777" w:rsidR="00514B27" w:rsidRDefault="00514B27" w:rsidP="009B15A2">
      <w:pPr>
        <w:pStyle w:val="maintext"/>
        <w:tabs>
          <w:tab w:val="left" w:pos="3150"/>
        </w:tabs>
        <w:ind w:firstLineChars="90" w:firstLine="180"/>
        <w:rPr>
          <w:rFonts w:ascii="Calibri" w:hAnsi="Calibri" w:cs="Arial"/>
          <w:lang w:val="en-US"/>
        </w:rPr>
      </w:pPr>
    </w:p>
    <w:p w14:paraId="1A352D2E" w14:textId="249EC136" w:rsidR="001E60B1" w:rsidRPr="008534A3" w:rsidRDefault="00550738" w:rsidP="008534A3">
      <w:pPr>
        <w:pStyle w:val="Heading2"/>
        <w:rPr>
          <w:lang w:val="en-GB"/>
        </w:rPr>
      </w:pPr>
      <w:r>
        <w:rPr>
          <w:lang w:val="en-GB"/>
        </w:rPr>
        <w:t xml:space="preserve"> </w:t>
      </w:r>
      <w:r w:rsidR="008534A3" w:rsidRPr="008534A3">
        <w:rPr>
          <w:lang w:val="en-GB"/>
        </w:rPr>
        <w:t>Testing and Certification</w:t>
      </w:r>
    </w:p>
    <w:p w14:paraId="4BD95B1A" w14:textId="77777777" w:rsidR="00DB190D" w:rsidRDefault="00DB190D" w:rsidP="00DB190D">
      <w:pPr>
        <w:pStyle w:val="maintext"/>
        <w:tabs>
          <w:tab w:val="left" w:pos="3150"/>
        </w:tabs>
        <w:ind w:firstLineChars="90" w:firstLine="180"/>
        <w:rPr>
          <w:rFonts w:ascii="Calibri" w:hAnsi="Calibri" w:cs="Arial"/>
        </w:rPr>
      </w:pPr>
      <w:r>
        <w:rPr>
          <w:rFonts w:ascii="Calibri" w:hAnsi="Calibri" w:cs="Arial"/>
        </w:rPr>
        <w:t>Our detailed views can be found in our companion contribution in [2] and are summarized as follows:</w:t>
      </w:r>
    </w:p>
    <w:tbl>
      <w:tblPr>
        <w:tblStyle w:val="TableGrid"/>
        <w:tblW w:w="0" w:type="auto"/>
        <w:tblLook w:val="04A0" w:firstRow="1" w:lastRow="0" w:firstColumn="1" w:lastColumn="0" w:noHBand="0" w:noVBand="1"/>
      </w:tblPr>
      <w:tblGrid>
        <w:gridCol w:w="10070"/>
      </w:tblGrid>
      <w:tr w:rsidR="00DB190D" w14:paraId="23B6A103" w14:textId="77777777" w:rsidTr="008E499B">
        <w:tc>
          <w:tcPr>
            <w:tcW w:w="0" w:type="auto"/>
          </w:tcPr>
          <w:p w14:paraId="6C88D95F" w14:textId="77777777" w:rsidR="00DB190D" w:rsidRPr="00C754E6" w:rsidRDefault="00DB190D" w:rsidP="008E499B">
            <w:pPr>
              <w:spacing w:after="60" w:line="288" w:lineRule="auto"/>
              <w:ind w:firstLineChars="90" w:firstLine="180"/>
              <w:jc w:val="left"/>
              <w:rPr>
                <w:rFonts w:ascii="Calibri" w:eastAsia="Malgun Gothic" w:hAnsi="Calibri" w:cs="Arial"/>
                <w:lang w:eastAsia="ko-KR"/>
              </w:rPr>
            </w:pPr>
            <w:r w:rsidRPr="00C754E6">
              <w:rPr>
                <w:rFonts w:ascii="Calibri" w:eastAsia="Malgun Gothic" w:hAnsi="Calibri" w:cs="Arial"/>
                <w:lang w:eastAsia="ko-KR"/>
              </w:rPr>
              <w:lastRenderedPageBreak/>
              <w:t xml:space="preserve">A globally aligned and normatively specified testing and certification procedure should ensure features are not just declared as mandatory, but deployment of these (and other features) </w:t>
            </w:r>
            <w:r>
              <w:rPr>
                <w:rFonts w:ascii="Calibri" w:eastAsia="Malgun Gothic" w:hAnsi="Calibri" w:cs="Arial"/>
                <w:lang w:eastAsia="ko-KR"/>
              </w:rPr>
              <w:t>is</w:t>
            </w:r>
            <w:r w:rsidRPr="00C754E6">
              <w:rPr>
                <w:rFonts w:ascii="Calibri" w:eastAsia="Malgun Gothic" w:hAnsi="Calibri" w:cs="Arial"/>
                <w:lang w:eastAsia="ko-KR"/>
              </w:rPr>
              <w:t xml:space="preserve"> tracked in 3GPP with a binding certification procedure for both the network and the user equipment.</w:t>
            </w:r>
          </w:p>
          <w:p w14:paraId="5908050D" w14:textId="77777777" w:rsidR="00DB190D" w:rsidRDefault="00DB190D" w:rsidP="008E499B">
            <w:pPr>
              <w:pStyle w:val="maintext"/>
              <w:tabs>
                <w:tab w:val="left" w:pos="3150"/>
              </w:tabs>
              <w:ind w:firstLineChars="0" w:firstLine="0"/>
              <w:rPr>
                <w:rFonts w:ascii="Calibri" w:hAnsi="Calibri" w:cs="Arial"/>
              </w:rPr>
            </w:pPr>
            <w:r w:rsidRPr="00C754E6">
              <w:rPr>
                <w:rFonts w:ascii="Calibri" w:hAnsi="Calibri" w:cs="Arial"/>
              </w:rPr>
              <w:t xml:space="preserve">For each 3GPP 6G work item, basic feature groups should be defined to ensure implementation, certification, and deployment of large numbers of features </w:t>
            </w:r>
            <w:r w:rsidRPr="00C754E6">
              <w:rPr>
                <w:rFonts w:ascii="Calibri" w:hAnsi="Calibri" w:cs="Arial"/>
                <w:i/>
                <w:iCs/>
              </w:rPr>
              <w:t>as components of a single feature group</w:t>
            </w:r>
            <w:r w:rsidRPr="00C754E6">
              <w:rPr>
                <w:rFonts w:ascii="Calibri" w:hAnsi="Calibri" w:cs="Arial"/>
              </w:rPr>
              <w:t>, rather than specifying a myriad of individual feature groups for a small number, and often a single component. These basic feature groups together define a meaningful, minimum set of features that are globally aligned among operators.</w:t>
            </w:r>
          </w:p>
        </w:tc>
      </w:tr>
    </w:tbl>
    <w:p w14:paraId="5EDB3049" w14:textId="77777777" w:rsidR="00C55411" w:rsidRDefault="00C55411" w:rsidP="009B15A2">
      <w:pPr>
        <w:pStyle w:val="maintext"/>
        <w:tabs>
          <w:tab w:val="left" w:pos="3150"/>
        </w:tabs>
        <w:ind w:firstLineChars="90" w:firstLine="180"/>
        <w:rPr>
          <w:rFonts w:ascii="Calibri" w:hAnsi="Calibri" w:cs="Arial"/>
          <w:lang w:val="en-US"/>
        </w:rPr>
      </w:pPr>
    </w:p>
    <w:p w14:paraId="1BB03A24" w14:textId="6A937B5A" w:rsidR="00C55411" w:rsidRPr="00C55411" w:rsidRDefault="00B125A8" w:rsidP="00C55411">
      <w:pPr>
        <w:pStyle w:val="Heading2"/>
        <w:rPr>
          <w:lang w:val="en-GB"/>
        </w:rPr>
      </w:pPr>
      <w:r>
        <w:t xml:space="preserve"> </w:t>
      </w:r>
      <w:r w:rsidR="004B2512">
        <w:t>S</w:t>
      </w:r>
      <w:r w:rsidR="004B2512" w:rsidRPr="004B2512">
        <w:t xml:space="preserve">pectrum </w:t>
      </w:r>
      <w:r w:rsidR="004B2512">
        <w:t>A</w:t>
      </w:r>
      <w:r w:rsidR="004B2512" w:rsidRPr="004B2512">
        <w:t>ggregation</w:t>
      </w:r>
    </w:p>
    <w:p w14:paraId="4B7385BC" w14:textId="32B1508E" w:rsidR="00E92A7F" w:rsidRDefault="00EC66BF" w:rsidP="0054356C">
      <w:pPr>
        <w:pStyle w:val="maintext"/>
        <w:tabs>
          <w:tab w:val="left" w:pos="3150"/>
        </w:tabs>
        <w:ind w:firstLineChars="90" w:firstLine="180"/>
        <w:rPr>
          <w:rFonts w:ascii="Calibri" w:hAnsi="Calibri" w:cs="Arial"/>
          <w:lang w:val="en-US"/>
        </w:rPr>
      </w:pPr>
      <w:r>
        <w:rPr>
          <w:rFonts w:ascii="Calibri" w:hAnsi="Calibri" w:cs="Arial"/>
          <w:lang w:val="en-US"/>
        </w:rPr>
        <w:t xml:space="preserve">The 6G Radio shall support 6G-6G CA. </w:t>
      </w:r>
      <w:r w:rsidR="00EE4483">
        <w:rPr>
          <w:rFonts w:ascii="Calibri" w:hAnsi="Calibri" w:cs="Arial"/>
          <w:lang w:val="en-US"/>
        </w:rPr>
        <w:t>T</w:t>
      </w:r>
      <w:r w:rsidR="00EE4483" w:rsidRPr="00EE4483">
        <w:rPr>
          <w:rFonts w:ascii="Calibri" w:hAnsi="Calibri" w:cs="Arial"/>
          <w:lang w:val="en-US"/>
        </w:rPr>
        <w:t>he 6G CA design</w:t>
      </w:r>
      <w:r w:rsidR="00EE4483">
        <w:rPr>
          <w:rFonts w:ascii="Calibri" w:hAnsi="Calibri" w:cs="Arial"/>
          <w:lang w:val="en-US"/>
        </w:rPr>
        <w:t xml:space="preserve"> shall be significantly simplified as</w:t>
      </w:r>
      <w:r w:rsidR="00EE4483" w:rsidRPr="00EE4483">
        <w:rPr>
          <w:rFonts w:ascii="Calibri" w:hAnsi="Calibri" w:cs="Arial"/>
          <w:lang w:val="en-US"/>
        </w:rPr>
        <w:t xml:space="preserve"> current CA implementation</w:t>
      </w:r>
      <w:r w:rsidR="00EE4483">
        <w:rPr>
          <w:rFonts w:ascii="Calibri" w:hAnsi="Calibri" w:cs="Arial"/>
          <w:lang w:val="en-US"/>
        </w:rPr>
        <w:t>s</w:t>
      </w:r>
      <w:r w:rsidR="00EE4483" w:rsidRPr="00EE4483">
        <w:rPr>
          <w:rFonts w:ascii="Calibri" w:hAnsi="Calibri" w:cs="Arial"/>
          <w:lang w:val="en-US"/>
        </w:rPr>
        <w:t xml:space="preserve"> </w:t>
      </w:r>
      <w:r w:rsidR="00EE4483">
        <w:rPr>
          <w:rFonts w:ascii="Calibri" w:hAnsi="Calibri" w:cs="Arial"/>
          <w:lang w:val="en-US"/>
        </w:rPr>
        <w:t>are</w:t>
      </w:r>
      <w:r w:rsidR="00EE4483" w:rsidRPr="00EE4483">
        <w:rPr>
          <w:rFonts w:ascii="Calibri" w:hAnsi="Calibri" w:cs="Arial"/>
          <w:lang w:val="en-US"/>
        </w:rPr>
        <w:t xml:space="preserve"> becoming </w:t>
      </w:r>
      <w:r w:rsidR="00EE4483">
        <w:rPr>
          <w:rFonts w:ascii="Calibri" w:hAnsi="Calibri" w:cs="Arial"/>
          <w:lang w:val="en-US"/>
        </w:rPr>
        <w:t xml:space="preserve">too </w:t>
      </w:r>
      <w:r w:rsidR="00EE4483" w:rsidRPr="00EE4483">
        <w:rPr>
          <w:rFonts w:ascii="Calibri" w:hAnsi="Calibri" w:cs="Arial"/>
          <w:lang w:val="en-US"/>
        </w:rPr>
        <w:t xml:space="preserve">complex and </w:t>
      </w:r>
      <w:r w:rsidR="00EE4483">
        <w:rPr>
          <w:rFonts w:ascii="Calibri" w:hAnsi="Calibri" w:cs="Arial"/>
          <w:lang w:val="en-US"/>
        </w:rPr>
        <w:t xml:space="preserve">are </w:t>
      </w:r>
      <w:r w:rsidR="00EE4483" w:rsidRPr="00EE4483">
        <w:rPr>
          <w:rFonts w:ascii="Calibri" w:hAnsi="Calibri" w:cs="Arial"/>
          <w:lang w:val="en-US"/>
        </w:rPr>
        <w:t>not sustainable. </w:t>
      </w:r>
      <w:r w:rsidR="00C95014">
        <w:rPr>
          <w:rFonts w:ascii="Calibri" w:hAnsi="Calibri" w:cs="Arial"/>
          <w:lang w:val="en-US"/>
        </w:rPr>
        <w:t>Specifically, 6G shall o</w:t>
      </w:r>
      <w:r w:rsidR="00C95014" w:rsidRPr="00C95014">
        <w:rPr>
          <w:rFonts w:ascii="Calibri" w:hAnsi="Calibri" w:cs="Arial"/>
          <w:lang w:val="en-US"/>
        </w:rPr>
        <w:t>ptimize CA band combination configurations</w:t>
      </w:r>
      <w:r w:rsidR="00C95014">
        <w:rPr>
          <w:rFonts w:ascii="Calibri" w:hAnsi="Calibri" w:cs="Arial"/>
          <w:lang w:val="en-US"/>
        </w:rPr>
        <w:t xml:space="preserve"> and </w:t>
      </w:r>
      <w:r w:rsidR="00C95014" w:rsidRPr="00C95014">
        <w:rPr>
          <w:rFonts w:ascii="Calibri" w:hAnsi="Calibri" w:cs="Arial"/>
          <w:lang w:val="en-US"/>
        </w:rPr>
        <w:t>capabilities</w:t>
      </w:r>
      <w:r w:rsidR="00C95014">
        <w:rPr>
          <w:rFonts w:ascii="Calibri" w:hAnsi="Calibri" w:cs="Arial"/>
          <w:lang w:val="en-US"/>
        </w:rPr>
        <w:t>.</w:t>
      </w:r>
    </w:p>
    <w:p w14:paraId="73042966" w14:textId="77777777" w:rsidR="00E92A7F" w:rsidRDefault="00E92A7F" w:rsidP="009B15A2">
      <w:pPr>
        <w:pStyle w:val="maintext"/>
        <w:tabs>
          <w:tab w:val="left" w:pos="3150"/>
        </w:tabs>
        <w:ind w:firstLineChars="90" w:firstLine="180"/>
        <w:rPr>
          <w:rFonts w:ascii="Calibri" w:hAnsi="Calibri" w:cs="Arial"/>
          <w:lang w:val="en-US"/>
        </w:rPr>
      </w:pPr>
    </w:p>
    <w:p w14:paraId="1B6F51BF" w14:textId="5FCE8E19" w:rsidR="00E92A7F" w:rsidRPr="00D20AE5" w:rsidRDefault="00D20AE5" w:rsidP="00D20AE5">
      <w:pPr>
        <w:pStyle w:val="Heading2"/>
        <w:rPr>
          <w:lang w:val="en-GB"/>
        </w:rPr>
      </w:pPr>
      <w:r w:rsidRPr="00D20AE5">
        <w:rPr>
          <w:lang w:val="en-GB"/>
        </w:rPr>
        <w:t xml:space="preserve">AI/ML </w:t>
      </w:r>
      <w:r w:rsidR="008B4DE4">
        <w:rPr>
          <w:lang w:val="en-GB"/>
        </w:rPr>
        <w:t>F</w:t>
      </w:r>
      <w:r w:rsidRPr="00D20AE5">
        <w:rPr>
          <w:lang w:val="en-GB"/>
        </w:rPr>
        <w:t>ramework</w:t>
      </w:r>
    </w:p>
    <w:p w14:paraId="260F457B" w14:textId="090BB819" w:rsidR="00B125A8" w:rsidRDefault="00B125A8" w:rsidP="00B125A8">
      <w:pPr>
        <w:pStyle w:val="maintext"/>
        <w:tabs>
          <w:tab w:val="left" w:pos="3150"/>
        </w:tabs>
        <w:ind w:firstLineChars="90" w:firstLine="180"/>
        <w:rPr>
          <w:rFonts w:ascii="Calibri" w:hAnsi="Calibri" w:cs="Arial"/>
          <w:lang w:val="en-US"/>
        </w:rPr>
      </w:pPr>
      <w:r w:rsidRPr="00D86F71">
        <w:rPr>
          <w:rFonts w:ascii="Calibri" w:hAnsi="Calibri" w:cs="Arial"/>
          <w:lang w:val="en-US"/>
        </w:rPr>
        <w:t>Our views</w:t>
      </w:r>
      <w:r>
        <w:rPr>
          <w:rFonts w:ascii="Calibri" w:hAnsi="Calibri" w:cs="Arial"/>
          <w:lang w:val="en-US"/>
        </w:rPr>
        <w:t xml:space="preserve"> on the 6G AI/ML framework</w:t>
      </w:r>
      <w:r w:rsidRPr="00D86F71">
        <w:rPr>
          <w:rFonts w:ascii="Calibri" w:hAnsi="Calibri" w:cs="Arial"/>
          <w:lang w:val="en-US"/>
        </w:rPr>
        <w:t xml:space="preserve"> can be found in our companion contribution in [</w:t>
      </w:r>
      <w:r>
        <w:rPr>
          <w:rFonts w:ascii="Calibri" w:hAnsi="Calibri" w:cs="Arial"/>
          <w:lang w:val="en-US"/>
        </w:rPr>
        <w:t>5</w:t>
      </w:r>
      <w:r w:rsidRPr="00D86F71">
        <w:rPr>
          <w:rFonts w:ascii="Calibri" w:hAnsi="Calibri" w:cs="Arial"/>
          <w:lang w:val="en-US"/>
        </w:rPr>
        <w:t>] and are summarized as follows:</w:t>
      </w:r>
    </w:p>
    <w:p w14:paraId="14C751BB" w14:textId="77777777" w:rsidR="00BB4B26" w:rsidRDefault="00BB4B26" w:rsidP="00B125A8">
      <w:pPr>
        <w:pStyle w:val="maintext"/>
        <w:tabs>
          <w:tab w:val="left" w:pos="3150"/>
        </w:tabs>
        <w:ind w:firstLineChars="90" w:firstLine="180"/>
        <w:rPr>
          <w:rFonts w:ascii="Calibri" w:hAnsi="Calibri" w:cs="Arial"/>
          <w:lang w:val="en-US"/>
        </w:rPr>
      </w:pPr>
    </w:p>
    <w:tbl>
      <w:tblPr>
        <w:tblStyle w:val="TableGrid"/>
        <w:tblW w:w="0" w:type="auto"/>
        <w:tblLook w:val="04A0" w:firstRow="1" w:lastRow="0" w:firstColumn="1" w:lastColumn="0" w:noHBand="0" w:noVBand="1"/>
      </w:tblPr>
      <w:tblGrid>
        <w:gridCol w:w="10070"/>
      </w:tblGrid>
      <w:tr w:rsidR="00BB4B26" w14:paraId="63F2C766" w14:textId="77777777">
        <w:tc>
          <w:tcPr>
            <w:tcW w:w="10070" w:type="dxa"/>
          </w:tcPr>
          <w:p w14:paraId="5A4C675C" w14:textId="77777777" w:rsidR="00BB4B26" w:rsidRPr="00DD249A" w:rsidRDefault="00BB4B26" w:rsidP="00BB4B26">
            <w:pPr>
              <w:pStyle w:val="maintext"/>
              <w:tabs>
                <w:tab w:val="left" w:pos="3150"/>
              </w:tabs>
              <w:ind w:firstLineChars="90" w:firstLine="180"/>
              <w:rPr>
                <w:rFonts w:ascii="Calibri" w:hAnsi="Calibri" w:cs="Arial"/>
                <w:lang w:val="en-US"/>
              </w:rPr>
            </w:pPr>
            <w:r w:rsidRPr="00DD249A">
              <w:rPr>
                <w:rFonts w:ascii="Calibri" w:hAnsi="Calibri" w:cs="Arial"/>
                <w:lang w:val="en-US"/>
              </w:rPr>
              <w:t>6G RAN and 6G Radio shall define an integrated framework for AI/ML data management based on the following design principles:</w:t>
            </w:r>
          </w:p>
          <w:p w14:paraId="4026226B" w14:textId="77777777" w:rsidR="00BB4B26" w:rsidRPr="00DD249A" w:rsidRDefault="00BB4B26" w:rsidP="00BB4B26">
            <w:pPr>
              <w:pStyle w:val="maintext"/>
              <w:numPr>
                <w:ilvl w:val="0"/>
                <w:numId w:val="6"/>
              </w:numPr>
              <w:tabs>
                <w:tab w:val="left" w:pos="3150"/>
              </w:tabs>
              <w:ind w:firstLineChars="0"/>
              <w:rPr>
                <w:rFonts w:ascii="Calibri" w:hAnsi="Calibri" w:cs="Arial"/>
                <w:lang w:val="en-US"/>
              </w:rPr>
            </w:pPr>
            <w:r w:rsidRPr="00DD249A">
              <w:rPr>
                <w:rFonts w:ascii="Calibri" w:hAnsi="Calibri" w:cs="Arial"/>
                <w:lang w:val="en-US"/>
              </w:rPr>
              <w:t>MNO visibility and control of AI/ML based data traffic (model transfer/delivery, data collection, model monitoring and management)</w:t>
            </w:r>
          </w:p>
          <w:p w14:paraId="12032F3A" w14:textId="77777777" w:rsidR="00BB4B26" w:rsidRPr="00DD249A" w:rsidRDefault="00BB4B26" w:rsidP="00BB4B26">
            <w:pPr>
              <w:pStyle w:val="maintext"/>
              <w:numPr>
                <w:ilvl w:val="0"/>
                <w:numId w:val="6"/>
              </w:numPr>
              <w:tabs>
                <w:tab w:val="left" w:pos="3150"/>
              </w:tabs>
              <w:ind w:firstLineChars="0"/>
              <w:rPr>
                <w:rFonts w:ascii="Calibri" w:hAnsi="Calibri" w:cs="Arial"/>
                <w:lang w:val="en-US"/>
              </w:rPr>
            </w:pPr>
            <w:r w:rsidRPr="00DD249A">
              <w:rPr>
                <w:rFonts w:ascii="Calibri" w:hAnsi="Calibri" w:cs="Arial"/>
                <w:lang w:val="en-US"/>
              </w:rPr>
              <w:t xml:space="preserve">Universal framework to avoid fragmentation and per-use case specifications and ensure scalability to new AI/ML use cases  </w:t>
            </w:r>
          </w:p>
          <w:p w14:paraId="1F377B12" w14:textId="77777777" w:rsidR="00BB4B26" w:rsidRPr="00DD249A" w:rsidRDefault="00BB4B26" w:rsidP="00BB4B26">
            <w:pPr>
              <w:pStyle w:val="maintext"/>
              <w:numPr>
                <w:ilvl w:val="0"/>
                <w:numId w:val="6"/>
              </w:numPr>
              <w:tabs>
                <w:tab w:val="left" w:pos="3150"/>
              </w:tabs>
              <w:ind w:firstLineChars="0"/>
              <w:rPr>
                <w:rFonts w:ascii="Calibri" w:hAnsi="Calibri" w:cs="Arial"/>
                <w:lang w:val="en-US"/>
              </w:rPr>
            </w:pPr>
            <w:r w:rsidRPr="00DD249A">
              <w:rPr>
                <w:rFonts w:ascii="Calibri" w:hAnsi="Calibri" w:cs="Arial"/>
                <w:lang w:val="en-US"/>
              </w:rPr>
              <w:t>Support multiple termination points for AI/ML data within the network with MNO visibility</w:t>
            </w:r>
          </w:p>
          <w:p w14:paraId="2E792174" w14:textId="77777777" w:rsidR="00BB4B26" w:rsidRPr="00DD249A" w:rsidRDefault="00BB4B26" w:rsidP="00BB4B26">
            <w:pPr>
              <w:pStyle w:val="maintext"/>
              <w:numPr>
                <w:ilvl w:val="0"/>
                <w:numId w:val="6"/>
              </w:numPr>
              <w:tabs>
                <w:tab w:val="left" w:pos="3150"/>
              </w:tabs>
              <w:ind w:firstLineChars="0"/>
              <w:rPr>
                <w:rFonts w:ascii="Calibri" w:hAnsi="Calibri" w:cs="Arial"/>
                <w:lang w:val="en-US"/>
              </w:rPr>
            </w:pPr>
            <w:r w:rsidRPr="00DD249A">
              <w:rPr>
                <w:rFonts w:ascii="Calibri" w:hAnsi="Calibri" w:cs="Arial"/>
                <w:lang w:val="en-US"/>
              </w:rPr>
              <w:t>Differentiate AI/ML data traffic from user plane traffic and control plane traffic</w:t>
            </w:r>
          </w:p>
          <w:p w14:paraId="780536A7" w14:textId="77777777" w:rsidR="00BB4B26" w:rsidRPr="00DD249A" w:rsidRDefault="00BB4B26" w:rsidP="00BB4B26">
            <w:pPr>
              <w:pStyle w:val="maintext"/>
              <w:numPr>
                <w:ilvl w:val="0"/>
                <w:numId w:val="6"/>
              </w:numPr>
              <w:tabs>
                <w:tab w:val="left" w:pos="3150"/>
              </w:tabs>
              <w:ind w:firstLineChars="0"/>
              <w:rPr>
                <w:rFonts w:ascii="Calibri" w:hAnsi="Calibri" w:cs="Arial"/>
                <w:lang w:val="en-US"/>
              </w:rPr>
            </w:pPr>
            <w:r w:rsidRPr="00DD249A">
              <w:rPr>
                <w:rFonts w:ascii="Calibri" w:hAnsi="Calibri" w:cs="Arial"/>
                <w:lang w:val="en-US"/>
              </w:rPr>
              <w:t>Ensure data traffic security and privacy</w:t>
            </w:r>
          </w:p>
          <w:p w14:paraId="7B0EAADC" w14:textId="77777777" w:rsidR="00BB4B26" w:rsidRPr="00DD249A" w:rsidRDefault="00BB4B26" w:rsidP="00BB4B26">
            <w:pPr>
              <w:pStyle w:val="maintext"/>
              <w:tabs>
                <w:tab w:val="left" w:pos="3150"/>
              </w:tabs>
              <w:ind w:firstLineChars="90" w:firstLine="180"/>
              <w:rPr>
                <w:rFonts w:ascii="Calibri" w:hAnsi="Calibri" w:cs="Arial"/>
                <w:lang w:val="en-US"/>
              </w:rPr>
            </w:pPr>
          </w:p>
          <w:p w14:paraId="424ECBF1" w14:textId="5C714C89" w:rsidR="00BB4B26" w:rsidRPr="00DD249A" w:rsidRDefault="00BB4B26" w:rsidP="00DD249A">
            <w:pPr>
              <w:pStyle w:val="maintext"/>
              <w:tabs>
                <w:tab w:val="left" w:pos="3150"/>
              </w:tabs>
              <w:ind w:firstLineChars="90" w:firstLine="180"/>
              <w:rPr>
                <w:rFonts w:ascii="Calibri" w:hAnsi="Calibri" w:cs="Arial"/>
                <w:lang w:val="en-US"/>
              </w:rPr>
            </w:pPr>
            <w:r w:rsidRPr="00DD249A">
              <w:rPr>
                <w:rFonts w:ascii="Calibri" w:hAnsi="Calibri" w:cs="Arial"/>
                <w:lang w:val="en-US"/>
              </w:rPr>
              <w:t xml:space="preserve">A unified flexible LCM framework is to be defined for model management, model transfer, model training, and model testing. </w:t>
            </w:r>
          </w:p>
        </w:tc>
      </w:tr>
    </w:tbl>
    <w:p w14:paraId="6100BA81" w14:textId="111F1DE3" w:rsidR="00B125A8" w:rsidRDefault="00B125A8" w:rsidP="00B125A8">
      <w:pPr>
        <w:rPr>
          <w:lang w:val="en-GB"/>
        </w:rPr>
      </w:pPr>
    </w:p>
    <w:p w14:paraId="5E7FC177" w14:textId="77777777" w:rsidR="00671B77" w:rsidRDefault="00671B77" w:rsidP="009B15A2">
      <w:pPr>
        <w:pStyle w:val="maintext"/>
        <w:tabs>
          <w:tab w:val="left" w:pos="3150"/>
        </w:tabs>
        <w:ind w:firstLineChars="90" w:firstLine="180"/>
        <w:rPr>
          <w:rFonts w:ascii="Calibri" w:hAnsi="Calibri" w:cs="Arial"/>
          <w:lang w:val="en-US"/>
        </w:rPr>
      </w:pPr>
    </w:p>
    <w:p w14:paraId="5869E696" w14:textId="70A5F0E3" w:rsidR="008B4DE4" w:rsidRPr="008B4DE4" w:rsidRDefault="00EE3983" w:rsidP="008B4DE4">
      <w:pPr>
        <w:pStyle w:val="Heading2"/>
        <w:rPr>
          <w:lang w:val="en-GB"/>
        </w:rPr>
      </w:pPr>
      <w:r>
        <w:rPr>
          <w:lang w:val="en-GB"/>
        </w:rPr>
        <w:t xml:space="preserve"> </w:t>
      </w:r>
      <w:r w:rsidR="008B4DE4" w:rsidRPr="008B4DE4">
        <w:rPr>
          <w:lang w:val="en-GB"/>
        </w:rPr>
        <w:t>Sensing</w:t>
      </w:r>
    </w:p>
    <w:p w14:paraId="710824BA" w14:textId="5273AD8E" w:rsidR="00070AA0" w:rsidRPr="008E499B" w:rsidRDefault="00360476" w:rsidP="008E499B">
      <w:pPr>
        <w:pStyle w:val="maintext"/>
        <w:tabs>
          <w:tab w:val="left" w:pos="3150"/>
        </w:tabs>
        <w:ind w:firstLineChars="90" w:firstLine="180"/>
        <w:rPr>
          <w:rFonts w:ascii="Calibri" w:hAnsi="Calibri" w:cs="Arial"/>
          <w:lang w:val="en-US"/>
        </w:rPr>
      </w:pPr>
      <w:r w:rsidRPr="008E499B">
        <w:rPr>
          <w:rFonts w:ascii="Calibri" w:hAnsi="Calibri" w:cs="Arial"/>
          <w:lang w:val="en-US"/>
        </w:rPr>
        <w:t xml:space="preserve">Integrated sensing and communication </w:t>
      </w:r>
      <w:proofErr w:type="gramStart"/>
      <w:r w:rsidRPr="008E499B">
        <w:rPr>
          <w:rFonts w:ascii="Calibri" w:hAnsi="Calibri" w:cs="Arial"/>
          <w:lang w:val="en-US"/>
        </w:rPr>
        <w:t>is</w:t>
      </w:r>
      <w:proofErr w:type="gramEnd"/>
      <w:r w:rsidRPr="008E499B">
        <w:rPr>
          <w:rFonts w:ascii="Calibri" w:hAnsi="Calibri" w:cs="Arial"/>
          <w:lang w:val="en-US"/>
        </w:rPr>
        <w:t xml:space="preserve"> a crucial feature for 6G radio, suitable for various object detection and tracking applications such as UAV tracking, smart transportation, and public safety.</w:t>
      </w:r>
      <w:r w:rsidR="009141A6" w:rsidRPr="008E499B">
        <w:rPr>
          <w:rFonts w:ascii="Calibri" w:hAnsi="Calibri" w:cs="Arial"/>
          <w:lang w:val="en-US"/>
        </w:rPr>
        <w:t xml:space="preserve"> </w:t>
      </w:r>
      <w:r w:rsidRPr="008E499B">
        <w:rPr>
          <w:rFonts w:ascii="Calibri" w:hAnsi="Calibri" w:cs="Arial"/>
          <w:lang w:val="en-US"/>
        </w:rPr>
        <w:t xml:space="preserve">Several sensing topologies and modes can be considered for integrated sensing and communication. </w:t>
      </w:r>
    </w:p>
    <w:p w14:paraId="772F68DB" w14:textId="02A0561A" w:rsidR="008B4DE4" w:rsidRPr="008E499B" w:rsidRDefault="00360476" w:rsidP="008E499B">
      <w:pPr>
        <w:pStyle w:val="maintext"/>
        <w:tabs>
          <w:tab w:val="left" w:pos="3150"/>
        </w:tabs>
        <w:ind w:firstLineChars="90" w:firstLine="180"/>
        <w:rPr>
          <w:rFonts w:ascii="Calibri" w:hAnsi="Calibri" w:cs="Arial"/>
          <w:lang w:val="en-US"/>
        </w:rPr>
      </w:pPr>
      <w:r w:rsidRPr="008E499B">
        <w:rPr>
          <w:rFonts w:ascii="Calibri" w:hAnsi="Calibri" w:cs="Arial"/>
          <w:lang w:val="en-US"/>
        </w:rPr>
        <w:t xml:space="preserve">Network-based sensing modes, including TRP-TRP bistatic, UE-TRP bistatic, and TRP-TRP monostatic sensing when feasible, should be included in the ISAC study in Rel. 20. </w:t>
      </w:r>
      <w:r w:rsidR="00BD3A9B" w:rsidRPr="008E499B">
        <w:rPr>
          <w:rFonts w:ascii="Calibri" w:hAnsi="Calibri" w:cs="Arial"/>
          <w:lang w:val="en-US"/>
        </w:rPr>
        <w:t xml:space="preserve"> </w:t>
      </w:r>
      <w:r w:rsidR="007F41DA" w:rsidRPr="008E499B">
        <w:rPr>
          <w:rFonts w:ascii="Calibri" w:hAnsi="Calibri" w:cs="Arial"/>
          <w:lang w:val="en-US"/>
        </w:rPr>
        <w:t xml:space="preserve"> </w:t>
      </w:r>
      <w:r w:rsidR="00D224A6" w:rsidRPr="008E499B">
        <w:rPr>
          <w:rFonts w:ascii="Calibri" w:hAnsi="Calibri" w:cs="Arial"/>
          <w:lang w:val="en-US"/>
        </w:rPr>
        <w:t xml:space="preserve"> </w:t>
      </w:r>
    </w:p>
    <w:p w14:paraId="41ABB622" w14:textId="3800C8C5" w:rsidR="00C365CD" w:rsidRPr="008E499B" w:rsidRDefault="00D42AA0" w:rsidP="008E499B">
      <w:pPr>
        <w:pStyle w:val="maintext"/>
        <w:tabs>
          <w:tab w:val="left" w:pos="3150"/>
        </w:tabs>
        <w:ind w:firstLineChars="90" w:firstLine="180"/>
        <w:rPr>
          <w:rFonts w:ascii="Calibri" w:hAnsi="Calibri" w:cs="Arial"/>
          <w:lang w:val="en-US"/>
        </w:rPr>
      </w:pPr>
      <w:r w:rsidRPr="008E499B">
        <w:rPr>
          <w:rFonts w:ascii="Calibri" w:hAnsi="Calibri" w:cs="Arial"/>
          <w:lang w:val="en-US"/>
        </w:rPr>
        <w:t xml:space="preserve">6G radio must address sensing performance for all sensing use cases by considering factors like angular, radial, and doppler resolution, link budget, interference sources, and environment and channel characteristics, while optimizing the sensing signal design for integrated sensing and communication. </w:t>
      </w:r>
    </w:p>
    <w:p w14:paraId="70310B47" w14:textId="77777777" w:rsidR="00C35D32" w:rsidRPr="005172F6" w:rsidRDefault="00C35D32" w:rsidP="009B15A2">
      <w:pPr>
        <w:pStyle w:val="maintext"/>
        <w:tabs>
          <w:tab w:val="left" w:pos="3150"/>
        </w:tabs>
        <w:ind w:firstLineChars="90" w:firstLine="180"/>
        <w:rPr>
          <w:rFonts w:ascii="Calibri" w:hAnsi="Calibri" w:cs="Arial"/>
        </w:rPr>
      </w:pPr>
    </w:p>
    <w:p w14:paraId="2F14C6B8" w14:textId="77777777" w:rsidR="00FE6C49" w:rsidRPr="00172743" w:rsidRDefault="00FE6C49" w:rsidP="00FE6C49">
      <w:pPr>
        <w:pStyle w:val="Heading1"/>
        <w:jc w:val="both"/>
      </w:pPr>
      <w:r w:rsidRPr="00172743">
        <w:lastRenderedPageBreak/>
        <w:t>Conclusion</w:t>
      </w:r>
    </w:p>
    <w:p w14:paraId="7F61A87E" w14:textId="1999F1CE" w:rsidR="00E317D8" w:rsidRDefault="00604653" w:rsidP="005600F3">
      <w:pPr>
        <w:pStyle w:val="maintext"/>
        <w:ind w:firstLineChars="90" w:firstLine="180"/>
        <w:rPr>
          <w:rFonts w:ascii="Calibri" w:hAnsi="Calibri" w:cs="Arial"/>
          <w:lang w:val="en-US"/>
        </w:rPr>
      </w:pPr>
      <w:r>
        <w:rPr>
          <w:rFonts w:ascii="Calibri" w:hAnsi="Calibri" w:cs="Arial"/>
        </w:rPr>
        <w:t>During the TSG RAN #108 meeting, 3GPP is expected to agree a n</w:t>
      </w:r>
      <w:r w:rsidRPr="00CE342C">
        <w:rPr>
          <w:rFonts w:ascii="Calibri" w:hAnsi="Calibri" w:cs="Arial"/>
        </w:rPr>
        <w:t>ew RAN WG SI for 6G</w:t>
      </w:r>
      <w:r>
        <w:rPr>
          <w:rFonts w:ascii="Calibri" w:hAnsi="Calibri" w:cs="Arial"/>
        </w:rPr>
        <w:t>. In this contribution, we provided our views on the drafting and scope of a working group level study for 6G.</w:t>
      </w:r>
    </w:p>
    <w:p w14:paraId="486FFD0E" w14:textId="77777777" w:rsidR="00960128" w:rsidRDefault="00960128" w:rsidP="005D72EC">
      <w:pPr>
        <w:pStyle w:val="maintext"/>
        <w:tabs>
          <w:tab w:val="left" w:pos="3150"/>
        </w:tabs>
        <w:ind w:firstLineChars="90" w:firstLine="180"/>
        <w:rPr>
          <w:rFonts w:ascii="Calibri" w:hAnsi="Calibri" w:cs="Arial"/>
          <w:lang w:val="en-US"/>
        </w:rPr>
      </w:pPr>
    </w:p>
    <w:p w14:paraId="0B4BED63" w14:textId="77777777" w:rsidR="00FE6C49" w:rsidRDefault="00FE6C49" w:rsidP="00FE6C49">
      <w:pPr>
        <w:pStyle w:val="Heading1"/>
        <w:jc w:val="both"/>
      </w:pPr>
      <w:r w:rsidRPr="007B496E">
        <w:t>References</w:t>
      </w:r>
    </w:p>
    <w:p w14:paraId="7581B010" w14:textId="0230B5F1" w:rsidR="00832894" w:rsidRDefault="00AB3288" w:rsidP="00967A0F">
      <w:pPr>
        <w:numPr>
          <w:ilvl w:val="0"/>
          <w:numId w:val="5"/>
        </w:numPr>
        <w:rPr>
          <w:rFonts w:ascii="Calibri" w:hAnsi="Calibri"/>
          <w:lang w:eastAsia="ko-KR"/>
        </w:rPr>
      </w:pPr>
      <w:r w:rsidRPr="00AB3288">
        <w:rPr>
          <w:rFonts w:ascii="Calibri" w:hAnsi="Calibri"/>
          <w:lang w:eastAsia="ko-KR"/>
        </w:rPr>
        <w:t>RP-251702</w:t>
      </w:r>
      <w:r>
        <w:rPr>
          <w:rFonts w:ascii="Calibri" w:hAnsi="Calibri"/>
          <w:lang w:eastAsia="ko-KR"/>
        </w:rPr>
        <w:t xml:space="preserve">, </w:t>
      </w:r>
      <w:r w:rsidRPr="00AB3288">
        <w:rPr>
          <w:rFonts w:ascii="Calibri" w:hAnsi="Calibri"/>
          <w:lang w:eastAsia="ko-KR"/>
        </w:rPr>
        <w:t>Software-based 6G with Needs-based Hardware Refresh</w:t>
      </w:r>
      <w:r>
        <w:rPr>
          <w:rFonts w:ascii="Calibri" w:hAnsi="Calibri"/>
          <w:lang w:eastAsia="ko-KR"/>
        </w:rPr>
        <w:t xml:space="preserve">, </w:t>
      </w:r>
      <w:r w:rsidRPr="00AB3288">
        <w:rPr>
          <w:rFonts w:ascii="Calibri" w:hAnsi="Calibri"/>
          <w:lang w:eastAsia="ko-KR"/>
        </w:rPr>
        <w:t>AT&amp;T</w:t>
      </w:r>
    </w:p>
    <w:p w14:paraId="585A17A7" w14:textId="21BCD6EB" w:rsidR="00870172" w:rsidRDefault="00870172" w:rsidP="00967A0F">
      <w:pPr>
        <w:numPr>
          <w:ilvl w:val="0"/>
          <w:numId w:val="5"/>
        </w:numPr>
        <w:rPr>
          <w:rFonts w:ascii="Calibri" w:hAnsi="Calibri"/>
          <w:lang w:eastAsia="ko-KR"/>
        </w:rPr>
      </w:pPr>
      <w:r w:rsidRPr="00870172">
        <w:rPr>
          <w:rFonts w:ascii="Calibri" w:hAnsi="Calibri"/>
          <w:lang w:eastAsia="ko-KR"/>
        </w:rPr>
        <w:t>RP-251704</w:t>
      </w:r>
      <w:r>
        <w:rPr>
          <w:rFonts w:ascii="Calibri" w:hAnsi="Calibri"/>
          <w:lang w:eastAsia="ko-KR"/>
        </w:rPr>
        <w:t xml:space="preserve">, </w:t>
      </w:r>
      <w:r w:rsidRPr="00870172">
        <w:rPr>
          <w:rFonts w:ascii="Calibri" w:hAnsi="Calibri"/>
          <w:lang w:eastAsia="ko-KR"/>
        </w:rPr>
        <w:t>A New Testing and Certification Paradigm for 6G</w:t>
      </w:r>
      <w:r>
        <w:rPr>
          <w:rFonts w:ascii="Calibri" w:hAnsi="Calibri"/>
          <w:lang w:eastAsia="ko-KR"/>
        </w:rPr>
        <w:t xml:space="preserve">, </w:t>
      </w:r>
      <w:r w:rsidRPr="00870172">
        <w:rPr>
          <w:rFonts w:ascii="Calibri" w:hAnsi="Calibri"/>
          <w:lang w:eastAsia="ko-KR"/>
        </w:rPr>
        <w:t>AT&amp;T</w:t>
      </w:r>
    </w:p>
    <w:p w14:paraId="2697B880" w14:textId="7BBE2ECF" w:rsidR="003132BE" w:rsidRPr="00D86F71" w:rsidRDefault="003132BE" w:rsidP="00967A0F">
      <w:pPr>
        <w:numPr>
          <w:ilvl w:val="0"/>
          <w:numId w:val="5"/>
        </w:numPr>
        <w:rPr>
          <w:rFonts w:ascii="Calibri" w:hAnsi="Calibri"/>
          <w:lang w:eastAsia="ko-KR"/>
        </w:rPr>
      </w:pPr>
      <w:r w:rsidRPr="00AB3288">
        <w:rPr>
          <w:rFonts w:ascii="Calibri" w:hAnsi="Calibri" w:cs="Arial"/>
          <w:lang w:eastAsia="ko-KR"/>
        </w:rPr>
        <w:t>RP-251701</w:t>
      </w:r>
      <w:r>
        <w:rPr>
          <w:rFonts w:ascii="Calibri" w:hAnsi="Calibri" w:cs="Arial"/>
          <w:lang w:eastAsia="ko-KR"/>
        </w:rPr>
        <w:t xml:space="preserve">, </w:t>
      </w:r>
      <w:r w:rsidRPr="00AB3288">
        <w:rPr>
          <w:rFonts w:ascii="Calibri" w:hAnsi="Calibri" w:cs="Arial"/>
          <w:lang w:eastAsia="ko-KR"/>
        </w:rPr>
        <w:t>AT&amp;T Views on minimum TPRs for IMT-2030</w:t>
      </w:r>
      <w:r>
        <w:rPr>
          <w:rFonts w:ascii="Calibri" w:hAnsi="Calibri" w:cs="Arial"/>
          <w:lang w:eastAsia="ko-KR"/>
        </w:rPr>
        <w:t xml:space="preserve">, </w:t>
      </w:r>
      <w:r w:rsidRPr="00AB3288">
        <w:rPr>
          <w:rFonts w:ascii="Calibri" w:hAnsi="Calibri" w:cs="Arial"/>
          <w:lang w:eastAsia="ko-KR"/>
        </w:rPr>
        <w:t>AT&amp;T</w:t>
      </w:r>
    </w:p>
    <w:p w14:paraId="3ECF01F9" w14:textId="035C9300" w:rsidR="00D86F71" w:rsidRPr="00671B77" w:rsidRDefault="00D86F71" w:rsidP="00967A0F">
      <w:pPr>
        <w:numPr>
          <w:ilvl w:val="0"/>
          <w:numId w:val="5"/>
        </w:numPr>
        <w:rPr>
          <w:rFonts w:ascii="Calibri" w:hAnsi="Calibri"/>
          <w:lang w:eastAsia="ko-KR"/>
        </w:rPr>
      </w:pPr>
      <w:r w:rsidRPr="00AB3288">
        <w:rPr>
          <w:rFonts w:ascii="Calibri" w:hAnsi="Calibri" w:cs="Arial"/>
          <w:lang w:eastAsia="ko-KR"/>
        </w:rPr>
        <w:t>RP-251703</w:t>
      </w:r>
      <w:r>
        <w:rPr>
          <w:rFonts w:ascii="Calibri" w:hAnsi="Calibri" w:cs="Arial"/>
          <w:lang w:eastAsia="ko-KR"/>
        </w:rPr>
        <w:t xml:space="preserve">, </w:t>
      </w:r>
      <w:r w:rsidRPr="00AB3288">
        <w:rPr>
          <w:rFonts w:ascii="Calibri" w:hAnsi="Calibri" w:cs="Arial"/>
          <w:lang w:eastAsia="ko-KR"/>
        </w:rPr>
        <w:t>On 3GPP Support of LPWA in 6G</w:t>
      </w:r>
      <w:r>
        <w:rPr>
          <w:rFonts w:ascii="Calibri" w:hAnsi="Calibri" w:cs="Arial"/>
          <w:lang w:eastAsia="ko-KR"/>
        </w:rPr>
        <w:t xml:space="preserve">, </w:t>
      </w:r>
      <w:r w:rsidRPr="00AB3288">
        <w:rPr>
          <w:rFonts w:ascii="Calibri" w:hAnsi="Calibri" w:cs="Arial"/>
          <w:lang w:eastAsia="ko-KR"/>
        </w:rPr>
        <w:t>AT&amp;T</w:t>
      </w:r>
      <w:r>
        <w:rPr>
          <w:rFonts w:ascii="Calibri" w:hAnsi="Calibri" w:cs="Arial"/>
          <w:lang w:eastAsia="ko-KR"/>
        </w:rPr>
        <w:t>/</w:t>
      </w:r>
      <w:r w:rsidRPr="00AB3288">
        <w:rPr>
          <w:rFonts w:ascii="Calibri" w:hAnsi="Calibri" w:cs="Arial"/>
          <w:lang w:eastAsia="ko-KR"/>
        </w:rPr>
        <w:t>Ericsson</w:t>
      </w:r>
      <w:r>
        <w:rPr>
          <w:rFonts w:ascii="Calibri" w:hAnsi="Calibri" w:cs="Arial"/>
          <w:lang w:eastAsia="ko-KR"/>
        </w:rPr>
        <w:t>/</w:t>
      </w:r>
      <w:r w:rsidRPr="00AB3288">
        <w:rPr>
          <w:rFonts w:ascii="Calibri" w:hAnsi="Calibri" w:cs="Arial"/>
          <w:lang w:eastAsia="ko-KR"/>
        </w:rPr>
        <w:t>FirstNet</w:t>
      </w:r>
      <w:r>
        <w:rPr>
          <w:rFonts w:ascii="Calibri" w:hAnsi="Calibri" w:cs="Arial"/>
          <w:lang w:eastAsia="ko-KR"/>
        </w:rPr>
        <w:t>/</w:t>
      </w:r>
      <w:r w:rsidRPr="00AB3288">
        <w:rPr>
          <w:rFonts w:ascii="Calibri" w:hAnsi="Calibri" w:cs="Arial"/>
          <w:lang w:eastAsia="ko-KR"/>
        </w:rPr>
        <w:t>KT Corp.</w:t>
      </w:r>
      <w:r>
        <w:rPr>
          <w:rFonts w:ascii="Calibri" w:hAnsi="Calibri" w:cs="Arial"/>
          <w:lang w:eastAsia="ko-KR"/>
        </w:rPr>
        <w:t>/</w:t>
      </w:r>
      <w:r w:rsidRPr="00AB3288">
        <w:rPr>
          <w:rFonts w:ascii="Calibri" w:hAnsi="Calibri" w:cs="Arial"/>
          <w:lang w:eastAsia="ko-KR"/>
        </w:rPr>
        <w:t>T-Mobile USA</w:t>
      </w:r>
      <w:r>
        <w:rPr>
          <w:rFonts w:ascii="Calibri" w:hAnsi="Calibri" w:cs="Arial"/>
          <w:lang w:eastAsia="ko-KR"/>
        </w:rPr>
        <w:t>/</w:t>
      </w:r>
      <w:r w:rsidRPr="00AB3288">
        <w:rPr>
          <w:rFonts w:ascii="Calibri" w:hAnsi="Calibri" w:cs="Arial"/>
          <w:lang w:eastAsia="ko-KR"/>
        </w:rPr>
        <w:t>Verizon</w:t>
      </w:r>
    </w:p>
    <w:p w14:paraId="75F52CD5" w14:textId="673D07D4" w:rsidR="00671B77" w:rsidRPr="00D6145B" w:rsidRDefault="00671B77" w:rsidP="00967A0F">
      <w:pPr>
        <w:numPr>
          <w:ilvl w:val="0"/>
          <w:numId w:val="5"/>
        </w:numPr>
        <w:rPr>
          <w:rFonts w:ascii="Calibri" w:hAnsi="Calibri"/>
          <w:lang w:eastAsia="ko-KR"/>
        </w:rPr>
      </w:pPr>
      <w:r w:rsidRPr="00671B77">
        <w:rPr>
          <w:rFonts w:ascii="Calibri" w:hAnsi="Calibri" w:cs="Arial"/>
          <w:lang w:eastAsia="ko-KR"/>
        </w:rPr>
        <w:t>RP-251705</w:t>
      </w:r>
      <w:r>
        <w:rPr>
          <w:rFonts w:ascii="Calibri" w:hAnsi="Calibri" w:cs="Arial"/>
          <w:lang w:eastAsia="ko-KR"/>
        </w:rPr>
        <w:t xml:space="preserve">, </w:t>
      </w:r>
      <w:r w:rsidRPr="00671B77">
        <w:rPr>
          <w:rFonts w:ascii="Calibri" w:hAnsi="Calibri" w:cs="Arial"/>
          <w:lang w:eastAsia="ko-KR"/>
        </w:rPr>
        <w:t>Views on 6G AI/ML Framework</w:t>
      </w:r>
      <w:r>
        <w:rPr>
          <w:rFonts w:ascii="Calibri" w:hAnsi="Calibri" w:cs="Arial"/>
          <w:lang w:eastAsia="ko-KR"/>
        </w:rPr>
        <w:t xml:space="preserve">, </w:t>
      </w:r>
      <w:r w:rsidRPr="00671B77">
        <w:rPr>
          <w:rFonts w:ascii="Calibri" w:hAnsi="Calibri" w:cs="Arial"/>
          <w:lang w:eastAsia="ko-KR"/>
        </w:rPr>
        <w:t>AT&amp;T</w:t>
      </w:r>
    </w:p>
    <w:p w14:paraId="7FE30AA0" w14:textId="77777777" w:rsidR="008C5171" w:rsidRPr="00AB3288" w:rsidRDefault="008C5171" w:rsidP="00671B77">
      <w:pPr>
        <w:pStyle w:val="maintext"/>
        <w:ind w:firstLineChars="0" w:firstLine="0"/>
        <w:rPr>
          <w:rFonts w:ascii="Calibri" w:hAnsi="Calibri" w:cs="Arial"/>
          <w:lang w:val="en-US"/>
        </w:rPr>
      </w:pPr>
    </w:p>
    <w:sectPr w:rsidR="008C5171" w:rsidRPr="00AB3288" w:rsidSect="006B2E0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3784A" w14:textId="77777777" w:rsidR="004A61C3" w:rsidRDefault="004A61C3" w:rsidP="00424124">
      <w:pPr>
        <w:spacing w:before="0" w:after="0"/>
      </w:pPr>
      <w:r>
        <w:separator/>
      </w:r>
    </w:p>
  </w:endnote>
  <w:endnote w:type="continuationSeparator" w:id="0">
    <w:p w14:paraId="5CD9045A" w14:textId="77777777" w:rsidR="004A61C3" w:rsidRDefault="004A61C3" w:rsidP="00424124">
      <w:pPr>
        <w:spacing w:before="0" w:after="0"/>
      </w:pPr>
      <w:r>
        <w:continuationSeparator/>
      </w:r>
    </w:p>
  </w:endnote>
  <w:endnote w:type="continuationNotice" w:id="1">
    <w:p w14:paraId="7AA00F78" w14:textId="77777777" w:rsidR="004A61C3" w:rsidRDefault="004A61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FC76" w14:textId="77777777" w:rsidR="004A61C3" w:rsidRDefault="004A61C3" w:rsidP="00424124">
      <w:pPr>
        <w:spacing w:before="0" w:after="0"/>
      </w:pPr>
      <w:r>
        <w:separator/>
      </w:r>
    </w:p>
  </w:footnote>
  <w:footnote w:type="continuationSeparator" w:id="0">
    <w:p w14:paraId="7EB2D92C" w14:textId="77777777" w:rsidR="004A61C3" w:rsidRDefault="004A61C3" w:rsidP="00424124">
      <w:pPr>
        <w:spacing w:before="0" w:after="0"/>
      </w:pPr>
      <w:r>
        <w:continuationSeparator/>
      </w:r>
    </w:p>
  </w:footnote>
  <w:footnote w:type="continuationNotice" w:id="1">
    <w:p w14:paraId="45FBF541" w14:textId="77777777" w:rsidR="004A61C3" w:rsidRDefault="004A61C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6C9A2CAE"/>
    <w:multiLevelType w:val="hybridMultilevel"/>
    <w:tmpl w:val="A7FCF14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571429146">
    <w:abstractNumId w:val="2"/>
  </w:num>
  <w:num w:numId="2" w16cid:durableId="1928688309">
    <w:abstractNumId w:val="0"/>
  </w:num>
  <w:num w:numId="3" w16cid:durableId="1385520081">
    <w:abstractNumId w:val="3"/>
  </w:num>
  <w:num w:numId="4" w16cid:durableId="811363251">
    <w:abstractNumId w:val="1"/>
  </w:num>
  <w:num w:numId="5" w16cid:durableId="116839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99791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08EC"/>
    <w:rsid w:val="00001127"/>
    <w:rsid w:val="000052FF"/>
    <w:rsid w:val="000060DA"/>
    <w:rsid w:val="00012DB0"/>
    <w:rsid w:val="0001485D"/>
    <w:rsid w:val="000149EC"/>
    <w:rsid w:val="00014D74"/>
    <w:rsid w:val="00015849"/>
    <w:rsid w:val="000158E6"/>
    <w:rsid w:val="000159E2"/>
    <w:rsid w:val="00026C27"/>
    <w:rsid w:val="00030016"/>
    <w:rsid w:val="0003047E"/>
    <w:rsid w:val="000318A5"/>
    <w:rsid w:val="00032D47"/>
    <w:rsid w:val="00040C9C"/>
    <w:rsid w:val="000412AC"/>
    <w:rsid w:val="0004163B"/>
    <w:rsid w:val="0004375F"/>
    <w:rsid w:val="00046BC3"/>
    <w:rsid w:val="0004706A"/>
    <w:rsid w:val="00051B4B"/>
    <w:rsid w:val="0005240B"/>
    <w:rsid w:val="00054590"/>
    <w:rsid w:val="000550BC"/>
    <w:rsid w:val="00056DB6"/>
    <w:rsid w:val="00061D08"/>
    <w:rsid w:val="00063ECE"/>
    <w:rsid w:val="00065C45"/>
    <w:rsid w:val="00070AA0"/>
    <w:rsid w:val="0007137B"/>
    <w:rsid w:val="000730C9"/>
    <w:rsid w:val="0007575F"/>
    <w:rsid w:val="00075FD1"/>
    <w:rsid w:val="00076BDE"/>
    <w:rsid w:val="000807B5"/>
    <w:rsid w:val="00080833"/>
    <w:rsid w:val="00080B25"/>
    <w:rsid w:val="000811C8"/>
    <w:rsid w:val="0008246C"/>
    <w:rsid w:val="000829FB"/>
    <w:rsid w:val="00082FFC"/>
    <w:rsid w:val="00084721"/>
    <w:rsid w:val="000856F0"/>
    <w:rsid w:val="00085800"/>
    <w:rsid w:val="000865E3"/>
    <w:rsid w:val="00086A6D"/>
    <w:rsid w:val="00087E67"/>
    <w:rsid w:val="00094E50"/>
    <w:rsid w:val="0009564D"/>
    <w:rsid w:val="000A1516"/>
    <w:rsid w:val="000A36A9"/>
    <w:rsid w:val="000A53F4"/>
    <w:rsid w:val="000A5BFA"/>
    <w:rsid w:val="000A5EB0"/>
    <w:rsid w:val="000B0538"/>
    <w:rsid w:val="000B0720"/>
    <w:rsid w:val="000B1603"/>
    <w:rsid w:val="000B2166"/>
    <w:rsid w:val="000B300D"/>
    <w:rsid w:val="000B455B"/>
    <w:rsid w:val="000B5AAE"/>
    <w:rsid w:val="000B5AF8"/>
    <w:rsid w:val="000B5BB6"/>
    <w:rsid w:val="000B5F12"/>
    <w:rsid w:val="000B695D"/>
    <w:rsid w:val="000B69C9"/>
    <w:rsid w:val="000B744C"/>
    <w:rsid w:val="000C0285"/>
    <w:rsid w:val="000C1D0E"/>
    <w:rsid w:val="000C285D"/>
    <w:rsid w:val="000C2A7B"/>
    <w:rsid w:val="000C57B9"/>
    <w:rsid w:val="000C70B3"/>
    <w:rsid w:val="000C785E"/>
    <w:rsid w:val="000D02F7"/>
    <w:rsid w:val="000D1D6A"/>
    <w:rsid w:val="000D28B3"/>
    <w:rsid w:val="000D2ED4"/>
    <w:rsid w:val="000D415A"/>
    <w:rsid w:val="000D5080"/>
    <w:rsid w:val="000D51D7"/>
    <w:rsid w:val="000D5C42"/>
    <w:rsid w:val="000D785D"/>
    <w:rsid w:val="000D7907"/>
    <w:rsid w:val="000D7AD9"/>
    <w:rsid w:val="000D7E30"/>
    <w:rsid w:val="000E1A76"/>
    <w:rsid w:val="000E2254"/>
    <w:rsid w:val="000E2603"/>
    <w:rsid w:val="000E29D8"/>
    <w:rsid w:val="000E2D57"/>
    <w:rsid w:val="000E2F81"/>
    <w:rsid w:val="000E51EC"/>
    <w:rsid w:val="000E57A0"/>
    <w:rsid w:val="000E69BA"/>
    <w:rsid w:val="000E7EBD"/>
    <w:rsid w:val="000F0255"/>
    <w:rsid w:val="000F56A7"/>
    <w:rsid w:val="000F5C62"/>
    <w:rsid w:val="000F6186"/>
    <w:rsid w:val="000F6995"/>
    <w:rsid w:val="000F6A47"/>
    <w:rsid w:val="0010195E"/>
    <w:rsid w:val="0010303E"/>
    <w:rsid w:val="00104D4D"/>
    <w:rsid w:val="00106746"/>
    <w:rsid w:val="00106756"/>
    <w:rsid w:val="00106B64"/>
    <w:rsid w:val="001101C8"/>
    <w:rsid w:val="001114F2"/>
    <w:rsid w:val="0011327D"/>
    <w:rsid w:val="001144D5"/>
    <w:rsid w:val="00114A28"/>
    <w:rsid w:val="00115F27"/>
    <w:rsid w:val="00116A54"/>
    <w:rsid w:val="00116DA6"/>
    <w:rsid w:val="001178F6"/>
    <w:rsid w:val="00120B96"/>
    <w:rsid w:val="00121212"/>
    <w:rsid w:val="0012215F"/>
    <w:rsid w:val="001255B7"/>
    <w:rsid w:val="001259E2"/>
    <w:rsid w:val="00125D91"/>
    <w:rsid w:val="001269B9"/>
    <w:rsid w:val="00127EA9"/>
    <w:rsid w:val="001303AE"/>
    <w:rsid w:val="00130828"/>
    <w:rsid w:val="00133CE5"/>
    <w:rsid w:val="0013495A"/>
    <w:rsid w:val="00134C08"/>
    <w:rsid w:val="00135C6D"/>
    <w:rsid w:val="001417A8"/>
    <w:rsid w:val="00143A0C"/>
    <w:rsid w:val="00145167"/>
    <w:rsid w:val="001452E2"/>
    <w:rsid w:val="0014767F"/>
    <w:rsid w:val="00147996"/>
    <w:rsid w:val="00152CCE"/>
    <w:rsid w:val="00153793"/>
    <w:rsid w:val="001546D4"/>
    <w:rsid w:val="00155015"/>
    <w:rsid w:val="0015549E"/>
    <w:rsid w:val="00157AA3"/>
    <w:rsid w:val="00157F18"/>
    <w:rsid w:val="001608BF"/>
    <w:rsid w:val="00161419"/>
    <w:rsid w:val="00161AC2"/>
    <w:rsid w:val="00161F75"/>
    <w:rsid w:val="00163C6F"/>
    <w:rsid w:val="00164695"/>
    <w:rsid w:val="001667D2"/>
    <w:rsid w:val="00167542"/>
    <w:rsid w:val="0017006F"/>
    <w:rsid w:val="001713AB"/>
    <w:rsid w:val="00172743"/>
    <w:rsid w:val="00173F3A"/>
    <w:rsid w:val="001766B8"/>
    <w:rsid w:val="0017741C"/>
    <w:rsid w:val="00180FF5"/>
    <w:rsid w:val="0018250A"/>
    <w:rsid w:val="00183762"/>
    <w:rsid w:val="001864BC"/>
    <w:rsid w:val="00190355"/>
    <w:rsid w:val="00190FF9"/>
    <w:rsid w:val="00191665"/>
    <w:rsid w:val="0019255B"/>
    <w:rsid w:val="001A0316"/>
    <w:rsid w:val="001A0C02"/>
    <w:rsid w:val="001A0D59"/>
    <w:rsid w:val="001A1BC0"/>
    <w:rsid w:val="001A303A"/>
    <w:rsid w:val="001A398E"/>
    <w:rsid w:val="001A4275"/>
    <w:rsid w:val="001A6212"/>
    <w:rsid w:val="001A6A7A"/>
    <w:rsid w:val="001A783B"/>
    <w:rsid w:val="001A7FB6"/>
    <w:rsid w:val="001B0092"/>
    <w:rsid w:val="001B3010"/>
    <w:rsid w:val="001B330E"/>
    <w:rsid w:val="001B3628"/>
    <w:rsid w:val="001B398D"/>
    <w:rsid w:val="001B6075"/>
    <w:rsid w:val="001B6284"/>
    <w:rsid w:val="001B6F75"/>
    <w:rsid w:val="001B731B"/>
    <w:rsid w:val="001B7547"/>
    <w:rsid w:val="001C14C7"/>
    <w:rsid w:val="001C187B"/>
    <w:rsid w:val="001C1934"/>
    <w:rsid w:val="001C1D96"/>
    <w:rsid w:val="001C2752"/>
    <w:rsid w:val="001C34DD"/>
    <w:rsid w:val="001C36BE"/>
    <w:rsid w:val="001C45D1"/>
    <w:rsid w:val="001C53C1"/>
    <w:rsid w:val="001C5755"/>
    <w:rsid w:val="001C6237"/>
    <w:rsid w:val="001D0EBE"/>
    <w:rsid w:val="001D0EE5"/>
    <w:rsid w:val="001D4B0C"/>
    <w:rsid w:val="001D62B8"/>
    <w:rsid w:val="001D7154"/>
    <w:rsid w:val="001E0CE1"/>
    <w:rsid w:val="001E0CEE"/>
    <w:rsid w:val="001E1C8C"/>
    <w:rsid w:val="001E3E45"/>
    <w:rsid w:val="001E58CC"/>
    <w:rsid w:val="001E60B1"/>
    <w:rsid w:val="001E649C"/>
    <w:rsid w:val="001E76EA"/>
    <w:rsid w:val="001E7FD3"/>
    <w:rsid w:val="001F385C"/>
    <w:rsid w:val="001F4222"/>
    <w:rsid w:val="001F59ED"/>
    <w:rsid w:val="001F5A74"/>
    <w:rsid w:val="00200026"/>
    <w:rsid w:val="00201958"/>
    <w:rsid w:val="0020256E"/>
    <w:rsid w:val="0020320F"/>
    <w:rsid w:val="002045A4"/>
    <w:rsid w:val="00205316"/>
    <w:rsid w:val="002055E6"/>
    <w:rsid w:val="002064A5"/>
    <w:rsid w:val="00207066"/>
    <w:rsid w:val="0021067E"/>
    <w:rsid w:val="00211834"/>
    <w:rsid w:val="00211D37"/>
    <w:rsid w:val="00212204"/>
    <w:rsid w:val="00214304"/>
    <w:rsid w:val="00216763"/>
    <w:rsid w:val="0021760D"/>
    <w:rsid w:val="0022183C"/>
    <w:rsid w:val="00222269"/>
    <w:rsid w:val="002232CD"/>
    <w:rsid w:val="00223489"/>
    <w:rsid w:val="002240E6"/>
    <w:rsid w:val="00224737"/>
    <w:rsid w:val="00224D11"/>
    <w:rsid w:val="00224EDC"/>
    <w:rsid w:val="00231180"/>
    <w:rsid w:val="00231371"/>
    <w:rsid w:val="00233736"/>
    <w:rsid w:val="00233CD3"/>
    <w:rsid w:val="00233D70"/>
    <w:rsid w:val="00235373"/>
    <w:rsid w:val="00240C25"/>
    <w:rsid w:val="00241A82"/>
    <w:rsid w:val="00241F6F"/>
    <w:rsid w:val="002421A5"/>
    <w:rsid w:val="00243C21"/>
    <w:rsid w:val="00245FF6"/>
    <w:rsid w:val="00246D61"/>
    <w:rsid w:val="0024786A"/>
    <w:rsid w:val="0025196A"/>
    <w:rsid w:val="00251BE6"/>
    <w:rsid w:val="002532CF"/>
    <w:rsid w:val="00255497"/>
    <w:rsid w:val="00255F03"/>
    <w:rsid w:val="00256BCF"/>
    <w:rsid w:val="002600C4"/>
    <w:rsid w:val="002613B7"/>
    <w:rsid w:val="0026177F"/>
    <w:rsid w:val="00262116"/>
    <w:rsid w:val="00262E32"/>
    <w:rsid w:val="00265011"/>
    <w:rsid w:val="00267063"/>
    <w:rsid w:val="002670F8"/>
    <w:rsid w:val="00267216"/>
    <w:rsid w:val="00267362"/>
    <w:rsid w:val="00270380"/>
    <w:rsid w:val="00270C24"/>
    <w:rsid w:val="00271D03"/>
    <w:rsid w:val="00272290"/>
    <w:rsid w:val="002725E8"/>
    <w:rsid w:val="00272769"/>
    <w:rsid w:val="00272EC2"/>
    <w:rsid w:val="0027351F"/>
    <w:rsid w:val="002739AB"/>
    <w:rsid w:val="00273B2A"/>
    <w:rsid w:val="00282DE8"/>
    <w:rsid w:val="002832A5"/>
    <w:rsid w:val="00283FDC"/>
    <w:rsid w:val="002878EC"/>
    <w:rsid w:val="002944A5"/>
    <w:rsid w:val="002968D7"/>
    <w:rsid w:val="00297225"/>
    <w:rsid w:val="00297325"/>
    <w:rsid w:val="002A005E"/>
    <w:rsid w:val="002A0E51"/>
    <w:rsid w:val="002A1B5C"/>
    <w:rsid w:val="002A2E88"/>
    <w:rsid w:val="002B0139"/>
    <w:rsid w:val="002B1799"/>
    <w:rsid w:val="002B6B7A"/>
    <w:rsid w:val="002C0488"/>
    <w:rsid w:val="002C07D6"/>
    <w:rsid w:val="002C14C3"/>
    <w:rsid w:val="002C2FA8"/>
    <w:rsid w:val="002C3E8C"/>
    <w:rsid w:val="002C4097"/>
    <w:rsid w:val="002C41F6"/>
    <w:rsid w:val="002C46A8"/>
    <w:rsid w:val="002C4C1B"/>
    <w:rsid w:val="002C65CF"/>
    <w:rsid w:val="002D1D31"/>
    <w:rsid w:val="002D3D42"/>
    <w:rsid w:val="002D479B"/>
    <w:rsid w:val="002D6E2C"/>
    <w:rsid w:val="002D6EC9"/>
    <w:rsid w:val="002D709D"/>
    <w:rsid w:val="002D787B"/>
    <w:rsid w:val="002E1F1A"/>
    <w:rsid w:val="002E28F4"/>
    <w:rsid w:val="002E348C"/>
    <w:rsid w:val="002E6722"/>
    <w:rsid w:val="002E6743"/>
    <w:rsid w:val="002E680E"/>
    <w:rsid w:val="002F066F"/>
    <w:rsid w:val="002F3445"/>
    <w:rsid w:val="002F3785"/>
    <w:rsid w:val="002F4447"/>
    <w:rsid w:val="002F4B43"/>
    <w:rsid w:val="002F4C4A"/>
    <w:rsid w:val="002F4C92"/>
    <w:rsid w:val="002F56CF"/>
    <w:rsid w:val="00302C98"/>
    <w:rsid w:val="003132BE"/>
    <w:rsid w:val="00314693"/>
    <w:rsid w:val="0031592C"/>
    <w:rsid w:val="00315DC4"/>
    <w:rsid w:val="00317020"/>
    <w:rsid w:val="003200C1"/>
    <w:rsid w:val="00320B4D"/>
    <w:rsid w:val="00321972"/>
    <w:rsid w:val="00321EDD"/>
    <w:rsid w:val="00323934"/>
    <w:rsid w:val="00324DBC"/>
    <w:rsid w:val="0032528B"/>
    <w:rsid w:val="00326E2D"/>
    <w:rsid w:val="00326FF6"/>
    <w:rsid w:val="00327A22"/>
    <w:rsid w:val="00327A51"/>
    <w:rsid w:val="003330BC"/>
    <w:rsid w:val="00334349"/>
    <w:rsid w:val="00334843"/>
    <w:rsid w:val="00334DAE"/>
    <w:rsid w:val="00335472"/>
    <w:rsid w:val="00335B1B"/>
    <w:rsid w:val="00335FC8"/>
    <w:rsid w:val="0033606B"/>
    <w:rsid w:val="00336749"/>
    <w:rsid w:val="00340625"/>
    <w:rsid w:val="00342130"/>
    <w:rsid w:val="00342FCD"/>
    <w:rsid w:val="00344F77"/>
    <w:rsid w:val="0034543F"/>
    <w:rsid w:val="00346605"/>
    <w:rsid w:val="00347FF2"/>
    <w:rsid w:val="00351236"/>
    <w:rsid w:val="003516A1"/>
    <w:rsid w:val="0035318F"/>
    <w:rsid w:val="00353A4C"/>
    <w:rsid w:val="003563BD"/>
    <w:rsid w:val="00356E5B"/>
    <w:rsid w:val="00357AED"/>
    <w:rsid w:val="00357AF3"/>
    <w:rsid w:val="00360476"/>
    <w:rsid w:val="0036306A"/>
    <w:rsid w:val="003631DA"/>
    <w:rsid w:val="003633FC"/>
    <w:rsid w:val="00364667"/>
    <w:rsid w:val="0036525C"/>
    <w:rsid w:val="00365823"/>
    <w:rsid w:val="00366345"/>
    <w:rsid w:val="00366B51"/>
    <w:rsid w:val="00371A0F"/>
    <w:rsid w:val="003727DB"/>
    <w:rsid w:val="00377B37"/>
    <w:rsid w:val="0038005E"/>
    <w:rsid w:val="00380D78"/>
    <w:rsid w:val="0038240A"/>
    <w:rsid w:val="003828D4"/>
    <w:rsid w:val="00383D10"/>
    <w:rsid w:val="00384225"/>
    <w:rsid w:val="003859F3"/>
    <w:rsid w:val="00386642"/>
    <w:rsid w:val="003908FF"/>
    <w:rsid w:val="00394AB4"/>
    <w:rsid w:val="003970F2"/>
    <w:rsid w:val="003A2610"/>
    <w:rsid w:val="003A298A"/>
    <w:rsid w:val="003A41BB"/>
    <w:rsid w:val="003A4E67"/>
    <w:rsid w:val="003A566A"/>
    <w:rsid w:val="003A725B"/>
    <w:rsid w:val="003A745B"/>
    <w:rsid w:val="003B1EC9"/>
    <w:rsid w:val="003B44CA"/>
    <w:rsid w:val="003B68E5"/>
    <w:rsid w:val="003B7744"/>
    <w:rsid w:val="003C025B"/>
    <w:rsid w:val="003C2454"/>
    <w:rsid w:val="003C4620"/>
    <w:rsid w:val="003C57A5"/>
    <w:rsid w:val="003C5A1A"/>
    <w:rsid w:val="003C79E3"/>
    <w:rsid w:val="003D06C3"/>
    <w:rsid w:val="003D0D04"/>
    <w:rsid w:val="003D1148"/>
    <w:rsid w:val="003D4FB4"/>
    <w:rsid w:val="003D66DB"/>
    <w:rsid w:val="003D6EB6"/>
    <w:rsid w:val="003E1304"/>
    <w:rsid w:val="003E1DC4"/>
    <w:rsid w:val="003E2285"/>
    <w:rsid w:val="003E33CE"/>
    <w:rsid w:val="003E3C2B"/>
    <w:rsid w:val="003E47CA"/>
    <w:rsid w:val="003E62FD"/>
    <w:rsid w:val="003E6819"/>
    <w:rsid w:val="003E7121"/>
    <w:rsid w:val="003F0731"/>
    <w:rsid w:val="003F0CC0"/>
    <w:rsid w:val="003F33B4"/>
    <w:rsid w:val="003F4281"/>
    <w:rsid w:val="003F4EFD"/>
    <w:rsid w:val="00400816"/>
    <w:rsid w:val="00400A39"/>
    <w:rsid w:val="0040159C"/>
    <w:rsid w:val="00401AA5"/>
    <w:rsid w:val="00402AEA"/>
    <w:rsid w:val="00403748"/>
    <w:rsid w:val="00405F6D"/>
    <w:rsid w:val="00406391"/>
    <w:rsid w:val="00412042"/>
    <w:rsid w:val="00413239"/>
    <w:rsid w:val="0041433D"/>
    <w:rsid w:val="00415280"/>
    <w:rsid w:val="004166AE"/>
    <w:rsid w:val="00416C5F"/>
    <w:rsid w:val="00417C54"/>
    <w:rsid w:val="00422353"/>
    <w:rsid w:val="004224DB"/>
    <w:rsid w:val="00422A2B"/>
    <w:rsid w:val="00423C30"/>
    <w:rsid w:val="00423E79"/>
    <w:rsid w:val="00424124"/>
    <w:rsid w:val="00425E73"/>
    <w:rsid w:val="004263D3"/>
    <w:rsid w:val="0042681E"/>
    <w:rsid w:val="004308A9"/>
    <w:rsid w:val="00434212"/>
    <w:rsid w:val="00434560"/>
    <w:rsid w:val="00435B80"/>
    <w:rsid w:val="004364BB"/>
    <w:rsid w:val="00436B37"/>
    <w:rsid w:val="0043789C"/>
    <w:rsid w:val="00437AC4"/>
    <w:rsid w:val="00437C68"/>
    <w:rsid w:val="004404FA"/>
    <w:rsid w:val="0044082D"/>
    <w:rsid w:val="00440F6E"/>
    <w:rsid w:val="00441B76"/>
    <w:rsid w:val="004432DD"/>
    <w:rsid w:val="00443645"/>
    <w:rsid w:val="00443CD6"/>
    <w:rsid w:val="004453EB"/>
    <w:rsid w:val="0044788F"/>
    <w:rsid w:val="00452C74"/>
    <w:rsid w:val="00452D24"/>
    <w:rsid w:val="0045392A"/>
    <w:rsid w:val="0045399B"/>
    <w:rsid w:val="004552C9"/>
    <w:rsid w:val="004607AC"/>
    <w:rsid w:val="0046127E"/>
    <w:rsid w:val="00461B30"/>
    <w:rsid w:val="00463677"/>
    <w:rsid w:val="00465E32"/>
    <w:rsid w:val="004665FD"/>
    <w:rsid w:val="004678E1"/>
    <w:rsid w:val="0047034B"/>
    <w:rsid w:val="00471456"/>
    <w:rsid w:val="00473281"/>
    <w:rsid w:val="00473B68"/>
    <w:rsid w:val="00474AC3"/>
    <w:rsid w:val="0047641D"/>
    <w:rsid w:val="0047674E"/>
    <w:rsid w:val="00476792"/>
    <w:rsid w:val="00476A1F"/>
    <w:rsid w:val="00477E1B"/>
    <w:rsid w:val="00477FC7"/>
    <w:rsid w:val="004825F4"/>
    <w:rsid w:val="0048301B"/>
    <w:rsid w:val="00483259"/>
    <w:rsid w:val="004833DD"/>
    <w:rsid w:val="0048729B"/>
    <w:rsid w:val="00487F15"/>
    <w:rsid w:val="00487F1A"/>
    <w:rsid w:val="004904D3"/>
    <w:rsid w:val="00492084"/>
    <w:rsid w:val="00492DF6"/>
    <w:rsid w:val="0049564A"/>
    <w:rsid w:val="0049740F"/>
    <w:rsid w:val="00497900"/>
    <w:rsid w:val="004A3004"/>
    <w:rsid w:val="004A378F"/>
    <w:rsid w:val="004A5ABE"/>
    <w:rsid w:val="004A5B15"/>
    <w:rsid w:val="004A61C3"/>
    <w:rsid w:val="004A6424"/>
    <w:rsid w:val="004A69D0"/>
    <w:rsid w:val="004A73A9"/>
    <w:rsid w:val="004B2512"/>
    <w:rsid w:val="004B623D"/>
    <w:rsid w:val="004B6E00"/>
    <w:rsid w:val="004C0D1F"/>
    <w:rsid w:val="004C132D"/>
    <w:rsid w:val="004C186B"/>
    <w:rsid w:val="004C2580"/>
    <w:rsid w:val="004C3007"/>
    <w:rsid w:val="004C3F2E"/>
    <w:rsid w:val="004C4856"/>
    <w:rsid w:val="004C4CE0"/>
    <w:rsid w:val="004C5120"/>
    <w:rsid w:val="004C771F"/>
    <w:rsid w:val="004D054E"/>
    <w:rsid w:val="004D076E"/>
    <w:rsid w:val="004D0880"/>
    <w:rsid w:val="004D1658"/>
    <w:rsid w:val="004D287F"/>
    <w:rsid w:val="004D2B50"/>
    <w:rsid w:val="004D3537"/>
    <w:rsid w:val="004D3C0C"/>
    <w:rsid w:val="004D44C1"/>
    <w:rsid w:val="004D4967"/>
    <w:rsid w:val="004D553F"/>
    <w:rsid w:val="004D64F4"/>
    <w:rsid w:val="004D780D"/>
    <w:rsid w:val="004D7CF8"/>
    <w:rsid w:val="004E0A02"/>
    <w:rsid w:val="004E1D73"/>
    <w:rsid w:val="004E26DC"/>
    <w:rsid w:val="004E2756"/>
    <w:rsid w:val="004E5DA6"/>
    <w:rsid w:val="004E6BC0"/>
    <w:rsid w:val="004E6D3B"/>
    <w:rsid w:val="004E7E6D"/>
    <w:rsid w:val="004F364C"/>
    <w:rsid w:val="004F5285"/>
    <w:rsid w:val="004F7571"/>
    <w:rsid w:val="004F7E2A"/>
    <w:rsid w:val="00500639"/>
    <w:rsid w:val="005022FD"/>
    <w:rsid w:val="005036CD"/>
    <w:rsid w:val="00505392"/>
    <w:rsid w:val="005055A6"/>
    <w:rsid w:val="00506906"/>
    <w:rsid w:val="00507060"/>
    <w:rsid w:val="00510557"/>
    <w:rsid w:val="005114D8"/>
    <w:rsid w:val="0051179B"/>
    <w:rsid w:val="005127D9"/>
    <w:rsid w:val="005146F8"/>
    <w:rsid w:val="00514B27"/>
    <w:rsid w:val="0051621B"/>
    <w:rsid w:val="00516DC4"/>
    <w:rsid w:val="005172F6"/>
    <w:rsid w:val="0051772C"/>
    <w:rsid w:val="00520A32"/>
    <w:rsid w:val="00522EA7"/>
    <w:rsid w:val="00523623"/>
    <w:rsid w:val="0052426B"/>
    <w:rsid w:val="00524CC6"/>
    <w:rsid w:val="00525F05"/>
    <w:rsid w:val="0053284E"/>
    <w:rsid w:val="005350AF"/>
    <w:rsid w:val="00535595"/>
    <w:rsid w:val="00536057"/>
    <w:rsid w:val="00536554"/>
    <w:rsid w:val="00536BFF"/>
    <w:rsid w:val="00540626"/>
    <w:rsid w:val="0054086E"/>
    <w:rsid w:val="0054159F"/>
    <w:rsid w:val="0054281D"/>
    <w:rsid w:val="005433F1"/>
    <w:rsid w:val="0054356C"/>
    <w:rsid w:val="005448C6"/>
    <w:rsid w:val="005465DA"/>
    <w:rsid w:val="0055004A"/>
    <w:rsid w:val="00550738"/>
    <w:rsid w:val="00556028"/>
    <w:rsid w:val="005575A4"/>
    <w:rsid w:val="005600F3"/>
    <w:rsid w:val="0056120B"/>
    <w:rsid w:val="0056238B"/>
    <w:rsid w:val="00563A4B"/>
    <w:rsid w:val="00563BB8"/>
    <w:rsid w:val="00563BD9"/>
    <w:rsid w:val="00565738"/>
    <w:rsid w:val="00565BDB"/>
    <w:rsid w:val="00566CE9"/>
    <w:rsid w:val="005758E7"/>
    <w:rsid w:val="00575A37"/>
    <w:rsid w:val="005778C8"/>
    <w:rsid w:val="00577CF5"/>
    <w:rsid w:val="00577DD5"/>
    <w:rsid w:val="00580E2C"/>
    <w:rsid w:val="0058120D"/>
    <w:rsid w:val="005822C1"/>
    <w:rsid w:val="00582848"/>
    <w:rsid w:val="00584C9C"/>
    <w:rsid w:val="0058666C"/>
    <w:rsid w:val="00590557"/>
    <w:rsid w:val="005917D6"/>
    <w:rsid w:val="005920BF"/>
    <w:rsid w:val="005A154B"/>
    <w:rsid w:val="005A5129"/>
    <w:rsid w:val="005A5745"/>
    <w:rsid w:val="005A7F17"/>
    <w:rsid w:val="005B0955"/>
    <w:rsid w:val="005B1400"/>
    <w:rsid w:val="005B18D5"/>
    <w:rsid w:val="005B47BD"/>
    <w:rsid w:val="005B60AE"/>
    <w:rsid w:val="005B6C32"/>
    <w:rsid w:val="005B6FA6"/>
    <w:rsid w:val="005C54F2"/>
    <w:rsid w:val="005C5F73"/>
    <w:rsid w:val="005D08E4"/>
    <w:rsid w:val="005D2C51"/>
    <w:rsid w:val="005D31D4"/>
    <w:rsid w:val="005D6D8B"/>
    <w:rsid w:val="005D72EC"/>
    <w:rsid w:val="005D7567"/>
    <w:rsid w:val="005D7C56"/>
    <w:rsid w:val="005E0524"/>
    <w:rsid w:val="005E1D42"/>
    <w:rsid w:val="005E2C81"/>
    <w:rsid w:val="005E4382"/>
    <w:rsid w:val="005E59D1"/>
    <w:rsid w:val="005F10B2"/>
    <w:rsid w:val="005F2F6E"/>
    <w:rsid w:val="005F3D97"/>
    <w:rsid w:val="005F613D"/>
    <w:rsid w:val="005F6687"/>
    <w:rsid w:val="005F6935"/>
    <w:rsid w:val="005F6B62"/>
    <w:rsid w:val="0060190B"/>
    <w:rsid w:val="00601C6B"/>
    <w:rsid w:val="0060239E"/>
    <w:rsid w:val="00602705"/>
    <w:rsid w:val="00603015"/>
    <w:rsid w:val="00603FC3"/>
    <w:rsid w:val="00604653"/>
    <w:rsid w:val="00604838"/>
    <w:rsid w:val="006055C6"/>
    <w:rsid w:val="0060603E"/>
    <w:rsid w:val="0060646A"/>
    <w:rsid w:val="00606BD1"/>
    <w:rsid w:val="00607BE3"/>
    <w:rsid w:val="006118A9"/>
    <w:rsid w:val="0061288E"/>
    <w:rsid w:val="0062071C"/>
    <w:rsid w:val="00621153"/>
    <w:rsid w:val="00622CF8"/>
    <w:rsid w:val="00625F2E"/>
    <w:rsid w:val="006302A9"/>
    <w:rsid w:val="00631FA4"/>
    <w:rsid w:val="006335CE"/>
    <w:rsid w:val="00634707"/>
    <w:rsid w:val="00635F53"/>
    <w:rsid w:val="00636F85"/>
    <w:rsid w:val="00640798"/>
    <w:rsid w:val="006412CE"/>
    <w:rsid w:val="00643FF1"/>
    <w:rsid w:val="00644034"/>
    <w:rsid w:val="006447F7"/>
    <w:rsid w:val="00645D72"/>
    <w:rsid w:val="00646D77"/>
    <w:rsid w:val="00650DE7"/>
    <w:rsid w:val="006515E6"/>
    <w:rsid w:val="00651B89"/>
    <w:rsid w:val="00652AC8"/>
    <w:rsid w:val="00653C07"/>
    <w:rsid w:val="00653DBD"/>
    <w:rsid w:val="00654F41"/>
    <w:rsid w:val="0065519D"/>
    <w:rsid w:val="006568C4"/>
    <w:rsid w:val="0065789B"/>
    <w:rsid w:val="006579A6"/>
    <w:rsid w:val="00657CDF"/>
    <w:rsid w:val="00660F95"/>
    <w:rsid w:val="0066119B"/>
    <w:rsid w:val="0066157D"/>
    <w:rsid w:val="006627B9"/>
    <w:rsid w:val="0066297A"/>
    <w:rsid w:val="00663B9E"/>
    <w:rsid w:val="00663E09"/>
    <w:rsid w:val="00666431"/>
    <w:rsid w:val="006669CA"/>
    <w:rsid w:val="00667F24"/>
    <w:rsid w:val="00671B77"/>
    <w:rsid w:val="00672601"/>
    <w:rsid w:val="00672876"/>
    <w:rsid w:val="0067540C"/>
    <w:rsid w:val="006756FB"/>
    <w:rsid w:val="00675C01"/>
    <w:rsid w:val="00675C66"/>
    <w:rsid w:val="00676CB7"/>
    <w:rsid w:val="0068019E"/>
    <w:rsid w:val="006813C0"/>
    <w:rsid w:val="00682599"/>
    <w:rsid w:val="00683393"/>
    <w:rsid w:val="00684560"/>
    <w:rsid w:val="00684E9A"/>
    <w:rsid w:val="006852D4"/>
    <w:rsid w:val="00685E11"/>
    <w:rsid w:val="00690108"/>
    <w:rsid w:val="00690654"/>
    <w:rsid w:val="006906B5"/>
    <w:rsid w:val="00691172"/>
    <w:rsid w:val="006912EA"/>
    <w:rsid w:val="00691BE7"/>
    <w:rsid w:val="00696301"/>
    <w:rsid w:val="006963B5"/>
    <w:rsid w:val="006A068F"/>
    <w:rsid w:val="006A0EDC"/>
    <w:rsid w:val="006A14DC"/>
    <w:rsid w:val="006A2D2E"/>
    <w:rsid w:val="006A2F4B"/>
    <w:rsid w:val="006A3E35"/>
    <w:rsid w:val="006B1BFF"/>
    <w:rsid w:val="006B2010"/>
    <w:rsid w:val="006B25C9"/>
    <w:rsid w:val="006B2E02"/>
    <w:rsid w:val="006B7513"/>
    <w:rsid w:val="006C07D0"/>
    <w:rsid w:val="006C3762"/>
    <w:rsid w:val="006C452E"/>
    <w:rsid w:val="006C4823"/>
    <w:rsid w:val="006C494C"/>
    <w:rsid w:val="006C4F84"/>
    <w:rsid w:val="006D1E33"/>
    <w:rsid w:val="006D2E13"/>
    <w:rsid w:val="006D40EA"/>
    <w:rsid w:val="006D44F3"/>
    <w:rsid w:val="006D4DDF"/>
    <w:rsid w:val="006D52D2"/>
    <w:rsid w:val="006D58E5"/>
    <w:rsid w:val="006D74B7"/>
    <w:rsid w:val="006D79FC"/>
    <w:rsid w:val="006E243D"/>
    <w:rsid w:val="006E2441"/>
    <w:rsid w:val="006E3FF0"/>
    <w:rsid w:val="006E4278"/>
    <w:rsid w:val="006E4E7F"/>
    <w:rsid w:val="006E5204"/>
    <w:rsid w:val="006E6B91"/>
    <w:rsid w:val="006E790B"/>
    <w:rsid w:val="006F055C"/>
    <w:rsid w:val="006F1048"/>
    <w:rsid w:val="006F2B28"/>
    <w:rsid w:val="006F39A0"/>
    <w:rsid w:val="006F4504"/>
    <w:rsid w:val="006F45F6"/>
    <w:rsid w:val="006F4D05"/>
    <w:rsid w:val="006F519D"/>
    <w:rsid w:val="006F5B48"/>
    <w:rsid w:val="006F613E"/>
    <w:rsid w:val="007056BE"/>
    <w:rsid w:val="00707704"/>
    <w:rsid w:val="00707D20"/>
    <w:rsid w:val="00707E74"/>
    <w:rsid w:val="00711950"/>
    <w:rsid w:val="00711A1C"/>
    <w:rsid w:val="00712602"/>
    <w:rsid w:val="00713482"/>
    <w:rsid w:val="00715FD5"/>
    <w:rsid w:val="00716BF6"/>
    <w:rsid w:val="00720515"/>
    <w:rsid w:val="00721AD7"/>
    <w:rsid w:val="007225EF"/>
    <w:rsid w:val="00722BA6"/>
    <w:rsid w:val="00723DC5"/>
    <w:rsid w:val="00724C53"/>
    <w:rsid w:val="00724D9F"/>
    <w:rsid w:val="007258B9"/>
    <w:rsid w:val="00727952"/>
    <w:rsid w:val="00727FCC"/>
    <w:rsid w:val="007338D6"/>
    <w:rsid w:val="00733900"/>
    <w:rsid w:val="00735233"/>
    <w:rsid w:val="007354E9"/>
    <w:rsid w:val="0073568C"/>
    <w:rsid w:val="00735A71"/>
    <w:rsid w:val="00740550"/>
    <w:rsid w:val="00740B36"/>
    <w:rsid w:val="0074105F"/>
    <w:rsid w:val="00741E72"/>
    <w:rsid w:val="00743857"/>
    <w:rsid w:val="00747A6F"/>
    <w:rsid w:val="00750BFE"/>
    <w:rsid w:val="00751851"/>
    <w:rsid w:val="00752E62"/>
    <w:rsid w:val="00754F88"/>
    <w:rsid w:val="00755D0F"/>
    <w:rsid w:val="0075622F"/>
    <w:rsid w:val="00756752"/>
    <w:rsid w:val="0075694B"/>
    <w:rsid w:val="00757142"/>
    <w:rsid w:val="00757B42"/>
    <w:rsid w:val="0076067D"/>
    <w:rsid w:val="007646E6"/>
    <w:rsid w:val="00765FF6"/>
    <w:rsid w:val="00766666"/>
    <w:rsid w:val="0076769E"/>
    <w:rsid w:val="007700E8"/>
    <w:rsid w:val="007712C9"/>
    <w:rsid w:val="007725EB"/>
    <w:rsid w:val="00772AC7"/>
    <w:rsid w:val="00773337"/>
    <w:rsid w:val="00773E65"/>
    <w:rsid w:val="00775AAE"/>
    <w:rsid w:val="00780092"/>
    <w:rsid w:val="007824F9"/>
    <w:rsid w:val="00782B8D"/>
    <w:rsid w:val="00782CDC"/>
    <w:rsid w:val="0078315B"/>
    <w:rsid w:val="00783676"/>
    <w:rsid w:val="007839F9"/>
    <w:rsid w:val="0078448F"/>
    <w:rsid w:val="007902DD"/>
    <w:rsid w:val="00790F25"/>
    <w:rsid w:val="00791128"/>
    <w:rsid w:val="00791183"/>
    <w:rsid w:val="00791B69"/>
    <w:rsid w:val="00791C9F"/>
    <w:rsid w:val="00792240"/>
    <w:rsid w:val="00794285"/>
    <w:rsid w:val="00795D8E"/>
    <w:rsid w:val="00796058"/>
    <w:rsid w:val="0079608C"/>
    <w:rsid w:val="007963FD"/>
    <w:rsid w:val="007A2765"/>
    <w:rsid w:val="007A3629"/>
    <w:rsid w:val="007A5732"/>
    <w:rsid w:val="007A5B4E"/>
    <w:rsid w:val="007A6747"/>
    <w:rsid w:val="007A77F4"/>
    <w:rsid w:val="007B13E5"/>
    <w:rsid w:val="007B2F6B"/>
    <w:rsid w:val="007B32EB"/>
    <w:rsid w:val="007B473A"/>
    <w:rsid w:val="007C0391"/>
    <w:rsid w:val="007C0DCB"/>
    <w:rsid w:val="007C196D"/>
    <w:rsid w:val="007C27AE"/>
    <w:rsid w:val="007C3793"/>
    <w:rsid w:val="007C45F3"/>
    <w:rsid w:val="007C6682"/>
    <w:rsid w:val="007D1DD4"/>
    <w:rsid w:val="007D2C48"/>
    <w:rsid w:val="007D3A27"/>
    <w:rsid w:val="007D67E9"/>
    <w:rsid w:val="007E17B1"/>
    <w:rsid w:val="007E4FC3"/>
    <w:rsid w:val="007E546F"/>
    <w:rsid w:val="007E67F9"/>
    <w:rsid w:val="007E6950"/>
    <w:rsid w:val="007E753C"/>
    <w:rsid w:val="007E7943"/>
    <w:rsid w:val="007F0C53"/>
    <w:rsid w:val="007F10D1"/>
    <w:rsid w:val="007F1928"/>
    <w:rsid w:val="007F1ECE"/>
    <w:rsid w:val="007F3338"/>
    <w:rsid w:val="007F3745"/>
    <w:rsid w:val="007F392E"/>
    <w:rsid w:val="007F3C16"/>
    <w:rsid w:val="007F41DA"/>
    <w:rsid w:val="007F4F22"/>
    <w:rsid w:val="007F5530"/>
    <w:rsid w:val="007F648E"/>
    <w:rsid w:val="007F662C"/>
    <w:rsid w:val="007F683A"/>
    <w:rsid w:val="007F783A"/>
    <w:rsid w:val="007F79C5"/>
    <w:rsid w:val="008002F1"/>
    <w:rsid w:val="008015EC"/>
    <w:rsid w:val="00801AC7"/>
    <w:rsid w:val="00801E1E"/>
    <w:rsid w:val="00806938"/>
    <w:rsid w:val="00811362"/>
    <w:rsid w:val="00811A1B"/>
    <w:rsid w:val="008125DD"/>
    <w:rsid w:val="00812D9E"/>
    <w:rsid w:val="008139B7"/>
    <w:rsid w:val="00815A4A"/>
    <w:rsid w:val="00817FD4"/>
    <w:rsid w:val="00821765"/>
    <w:rsid w:val="00824DED"/>
    <w:rsid w:val="00825B98"/>
    <w:rsid w:val="00826E5A"/>
    <w:rsid w:val="00830906"/>
    <w:rsid w:val="00832894"/>
    <w:rsid w:val="0083370E"/>
    <w:rsid w:val="0083439F"/>
    <w:rsid w:val="00834818"/>
    <w:rsid w:val="00834D84"/>
    <w:rsid w:val="00836669"/>
    <w:rsid w:val="00836E50"/>
    <w:rsid w:val="00837F53"/>
    <w:rsid w:val="0084107B"/>
    <w:rsid w:val="00843734"/>
    <w:rsid w:val="008437B2"/>
    <w:rsid w:val="00843F1C"/>
    <w:rsid w:val="00846707"/>
    <w:rsid w:val="00847213"/>
    <w:rsid w:val="00847E82"/>
    <w:rsid w:val="00850924"/>
    <w:rsid w:val="00850DCE"/>
    <w:rsid w:val="00851DB7"/>
    <w:rsid w:val="008528FF"/>
    <w:rsid w:val="008529E0"/>
    <w:rsid w:val="008530A9"/>
    <w:rsid w:val="008534A3"/>
    <w:rsid w:val="00854FBB"/>
    <w:rsid w:val="008567BF"/>
    <w:rsid w:val="00857366"/>
    <w:rsid w:val="008577CD"/>
    <w:rsid w:val="00861F33"/>
    <w:rsid w:val="00862FFF"/>
    <w:rsid w:val="008650AE"/>
    <w:rsid w:val="008661BA"/>
    <w:rsid w:val="00870172"/>
    <w:rsid w:val="00870764"/>
    <w:rsid w:val="00870B30"/>
    <w:rsid w:val="00871CA8"/>
    <w:rsid w:val="00872BDC"/>
    <w:rsid w:val="0087383D"/>
    <w:rsid w:val="00873AB6"/>
    <w:rsid w:val="0087461D"/>
    <w:rsid w:val="00874BCD"/>
    <w:rsid w:val="0087579F"/>
    <w:rsid w:val="008765F6"/>
    <w:rsid w:val="0087670F"/>
    <w:rsid w:val="0087704A"/>
    <w:rsid w:val="008773EE"/>
    <w:rsid w:val="008777F6"/>
    <w:rsid w:val="00880D94"/>
    <w:rsid w:val="00882D49"/>
    <w:rsid w:val="00883614"/>
    <w:rsid w:val="0088386D"/>
    <w:rsid w:val="00884A1E"/>
    <w:rsid w:val="00885004"/>
    <w:rsid w:val="00885CE3"/>
    <w:rsid w:val="00886BE2"/>
    <w:rsid w:val="00887789"/>
    <w:rsid w:val="00887AB4"/>
    <w:rsid w:val="00894290"/>
    <w:rsid w:val="00894630"/>
    <w:rsid w:val="00896C1A"/>
    <w:rsid w:val="008A0744"/>
    <w:rsid w:val="008A10CA"/>
    <w:rsid w:val="008A25A1"/>
    <w:rsid w:val="008A37F6"/>
    <w:rsid w:val="008A4697"/>
    <w:rsid w:val="008A4E43"/>
    <w:rsid w:val="008A5ECD"/>
    <w:rsid w:val="008A7BFC"/>
    <w:rsid w:val="008B140E"/>
    <w:rsid w:val="008B2215"/>
    <w:rsid w:val="008B345A"/>
    <w:rsid w:val="008B4DE4"/>
    <w:rsid w:val="008B5783"/>
    <w:rsid w:val="008B65E8"/>
    <w:rsid w:val="008C0566"/>
    <w:rsid w:val="008C1AFD"/>
    <w:rsid w:val="008C2066"/>
    <w:rsid w:val="008C25F9"/>
    <w:rsid w:val="008C281E"/>
    <w:rsid w:val="008C5171"/>
    <w:rsid w:val="008C5CD9"/>
    <w:rsid w:val="008C68B6"/>
    <w:rsid w:val="008D1AEF"/>
    <w:rsid w:val="008D25D4"/>
    <w:rsid w:val="008D3773"/>
    <w:rsid w:val="008D3895"/>
    <w:rsid w:val="008D45FB"/>
    <w:rsid w:val="008D47BC"/>
    <w:rsid w:val="008D5AE8"/>
    <w:rsid w:val="008D6F81"/>
    <w:rsid w:val="008D7210"/>
    <w:rsid w:val="008D745F"/>
    <w:rsid w:val="008E061B"/>
    <w:rsid w:val="008E090B"/>
    <w:rsid w:val="008E2A67"/>
    <w:rsid w:val="008E2AC6"/>
    <w:rsid w:val="008E499B"/>
    <w:rsid w:val="008E68AE"/>
    <w:rsid w:val="008E6B52"/>
    <w:rsid w:val="008F1281"/>
    <w:rsid w:val="008F2066"/>
    <w:rsid w:val="008F39F3"/>
    <w:rsid w:val="008F778E"/>
    <w:rsid w:val="0090307E"/>
    <w:rsid w:val="00904CF6"/>
    <w:rsid w:val="009141A6"/>
    <w:rsid w:val="0091495E"/>
    <w:rsid w:val="00915D0F"/>
    <w:rsid w:val="009165A0"/>
    <w:rsid w:val="0091693F"/>
    <w:rsid w:val="009172D8"/>
    <w:rsid w:val="00917705"/>
    <w:rsid w:val="009211A7"/>
    <w:rsid w:val="00921EC9"/>
    <w:rsid w:val="00922B7D"/>
    <w:rsid w:val="00923168"/>
    <w:rsid w:val="0092403B"/>
    <w:rsid w:val="0092406F"/>
    <w:rsid w:val="0092430D"/>
    <w:rsid w:val="00925FA2"/>
    <w:rsid w:val="00926A9C"/>
    <w:rsid w:val="00927803"/>
    <w:rsid w:val="009320DB"/>
    <w:rsid w:val="00933D72"/>
    <w:rsid w:val="00935D5E"/>
    <w:rsid w:val="00935D9C"/>
    <w:rsid w:val="00936678"/>
    <w:rsid w:val="00943141"/>
    <w:rsid w:val="00943A75"/>
    <w:rsid w:val="00944020"/>
    <w:rsid w:val="00945A1B"/>
    <w:rsid w:val="009509F4"/>
    <w:rsid w:val="00950F15"/>
    <w:rsid w:val="00951527"/>
    <w:rsid w:val="00952694"/>
    <w:rsid w:val="00953D14"/>
    <w:rsid w:val="009564A2"/>
    <w:rsid w:val="00957CD1"/>
    <w:rsid w:val="00960128"/>
    <w:rsid w:val="00961DB2"/>
    <w:rsid w:val="0096246D"/>
    <w:rsid w:val="009631D2"/>
    <w:rsid w:val="00964639"/>
    <w:rsid w:val="00967A0F"/>
    <w:rsid w:val="00971465"/>
    <w:rsid w:val="0097292F"/>
    <w:rsid w:val="0097312D"/>
    <w:rsid w:val="009741D9"/>
    <w:rsid w:val="00980658"/>
    <w:rsid w:val="00980AE8"/>
    <w:rsid w:val="00982CA4"/>
    <w:rsid w:val="009832CB"/>
    <w:rsid w:val="00984235"/>
    <w:rsid w:val="0098729B"/>
    <w:rsid w:val="00987DB4"/>
    <w:rsid w:val="009901BA"/>
    <w:rsid w:val="0099114F"/>
    <w:rsid w:val="00993D92"/>
    <w:rsid w:val="00994C6F"/>
    <w:rsid w:val="00994F78"/>
    <w:rsid w:val="009956FC"/>
    <w:rsid w:val="00997D48"/>
    <w:rsid w:val="009A0D8B"/>
    <w:rsid w:val="009A3E85"/>
    <w:rsid w:val="009A4D63"/>
    <w:rsid w:val="009A54FC"/>
    <w:rsid w:val="009A5784"/>
    <w:rsid w:val="009A6755"/>
    <w:rsid w:val="009A74B7"/>
    <w:rsid w:val="009A7A5B"/>
    <w:rsid w:val="009B08C5"/>
    <w:rsid w:val="009B1218"/>
    <w:rsid w:val="009B15A2"/>
    <w:rsid w:val="009B1C25"/>
    <w:rsid w:val="009B1D99"/>
    <w:rsid w:val="009B2DE5"/>
    <w:rsid w:val="009B2E4A"/>
    <w:rsid w:val="009B4563"/>
    <w:rsid w:val="009B52C0"/>
    <w:rsid w:val="009B7665"/>
    <w:rsid w:val="009B79AA"/>
    <w:rsid w:val="009C2167"/>
    <w:rsid w:val="009C3671"/>
    <w:rsid w:val="009C3CB7"/>
    <w:rsid w:val="009C5D7C"/>
    <w:rsid w:val="009C7A2D"/>
    <w:rsid w:val="009D0F50"/>
    <w:rsid w:val="009D2A80"/>
    <w:rsid w:val="009D45BF"/>
    <w:rsid w:val="009D46C1"/>
    <w:rsid w:val="009D5CE3"/>
    <w:rsid w:val="009E0D02"/>
    <w:rsid w:val="009E0E77"/>
    <w:rsid w:val="009E18EA"/>
    <w:rsid w:val="009E19F7"/>
    <w:rsid w:val="009E41FF"/>
    <w:rsid w:val="009E5838"/>
    <w:rsid w:val="009E5FF7"/>
    <w:rsid w:val="009E6CF7"/>
    <w:rsid w:val="009F1856"/>
    <w:rsid w:val="009F3D99"/>
    <w:rsid w:val="009F5583"/>
    <w:rsid w:val="009F768E"/>
    <w:rsid w:val="00A0025B"/>
    <w:rsid w:val="00A00E27"/>
    <w:rsid w:val="00A01AF0"/>
    <w:rsid w:val="00A0255C"/>
    <w:rsid w:val="00A04600"/>
    <w:rsid w:val="00A04F02"/>
    <w:rsid w:val="00A04F95"/>
    <w:rsid w:val="00A05105"/>
    <w:rsid w:val="00A11704"/>
    <w:rsid w:val="00A11840"/>
    <w:rsid w:val="00A15B48"/>
    <w:rsid w:val="00A15D47"/>
    <w:rsid w:val="00A16736"/>
    <w:rsid w:val="00A21D30"/>
    <w:rsid w:val="00A22125"/>
    <w:rsid w:val="00A22C61"/>
    <w:rsid w:val="00A22D15"/>
    <w:rsid w:val="00A237B9"/>
    <w:rsid w:val="00A262E4"/>
    <w:rsid w:val="00A325C8"/>
    <w:rsid w:val="00A34EFC"/>
    <w:rsid w:val="00A3502C"/>
    <w:rsid w:val="00A3772F"/>
    <w:rsid w:val="00A400E3"/>
    <w:rsid w:val="00A40E5C"/>
    <w:rsid w:val="00A41771"/>
    <w:rsid w:val="00A41CF3"/>
    <w:rsid w:val="00A42D63"/>
    <w:rsid w:val="00A43F8B"/>
    <w:rsid w:val="00A4674D"/>
    <w:rsid w:val="00A55FF3"/>
    <w:rsid w:val="00A6006A"/>
    <w:rsid w:val="00A603CE"/>
    <w:rsid w:val="00A616E0"/>
    <w:rsid w:val="00A6189A"/>
    <w:rsid w:val="00A62711"/>
    <w:rsid w:val="00A64CF7"/>
    <w:rsid w:val="00A65040"/>
    <w:rsid w:val="00A655D6"/>
    <w:rsid w:val="00A66A04"/>
    <w:rsid w:val="00A66D2B"/>
    <w:rsid w:val="00A67338"/>
    <w:rsid w:val="00A67C3C"/>
    <w:rsid w:val="00A7039D"/>
    <w:rsid w:val="00A710C6"/>
    <w:rsid w:val="00A717FF"/>
    <w:rsid w:val="00A7191A"/>
    <w:rsid w:val="00A76C70"/>
    <w:rsid w:val="00A800B4"/>
    <w:rsid w:val="00A8073A"/>
    <w:rsid w:val="00A82060"/>
    <w:rsid w:val="00A826E6"/>
    <w:rsid w:val="00A84412"/>
    <w:rsid w:val="00A84818"/>
    <w:rsid w:val="00A84C87"/>
    <w:rsid w:val="00A85E46"/>
    <w:rsid w:val="00A85E69"/>
    <w:rsid w:val="00A8721E"/>
    <w:rsid w:val="00A87720"/>
    <w:rsid w:val="00A87EDE"/>
    <w:rsid w:val="00A919A2"/>
    <w:rsid w:val="00A91D55"/>
    <w:rsid w:val="00A92495"/>
    <w:rsid w:val="00A94695"/>
    <w:rsid w:val="00A9581F"/>
    <w:rsid w:val="00A95880"/>
    <w:rsid w:val="00AA3C24"/>
    <w:rsid w:val="00AA4EB1"/>
    <w:rsid w:val="00AA5899"/>
    <w:rsid w:val="00AA7896"/>
    <w:rsid w:val="00AB050D"/>
    <w:rsid w:val="00AB3288"/>
    <w:rsid w:val="00AB54B4"/>
    <w:rsid w:val="00AB57EC"/>
    <w:rsid w:val="00AB7B33"/>
    <w:rsid w:val="00AB7FC6"/>
    <w:rsid w:val="00AC2440"/>
    <w:rsid w:val="00AC33CC"/>
    <w:rsid w:val="00AC3469"/>
    <w:rsid w:val="00AC520F"/>
    <w:rsid w:val="00AC5E87"/>
    <w:rsid w:val="00AC608A"/>
    <w:rsid w:val="00AC7254"/>
    <w:rsid w:val="00AC7B17"/>
    <w:rsid w:val="00AD115D"/>
    <w:rsid w:val="00AD16AE"/>
    <w:rsid w:val="00AD2F18"/>
    <w:rsid w:val="00AD4431"/>
    <w:rsid w:val="00AD4589"/>
    <w:rsid w:val="00AD4D03"/>
    <w:rsid w:val="00AD6C53"/>
    <w:rsid w:val="00AE290D"/>
    <w:rsid w:val="00AE2F2E"/>
    <w:rsid w:val="00AE33AA"/>
    <w:rsid w:val="00AE453B"/>
    <w:rsid w:val="00AE506B"/>
    <w:rsid w:val="00AE5556"/>
    <w:rsid w:val="00AE72F4"/>
    <w:rsid w:val="00AF1325"/>
    <w:rsid w:val="00AF252E"/>
    <w:rsid w:val="00AF3194"/>
    <w:rsid w:val="00AF3535"/>
    <w:rsid w:val="00AF3CC9"/>
    <w:rsid w:val="00AF4985"/>
    <w:rsid w:val="00AF6593"/>
    <w:rsid w:val="00AF65DE"/>
    <w:rsid w:val="00AF6774"/>
    <w:rsid w:val="00AF6E53"/>
    <w:rsid w:val="00AF7135"/>
    <w:rsid w:val="00B001D2"/>
    <w:rsid w:val="00B04124"/>
    <w:rsid w:val="00B04278"/>
    <w:rsid w:val="00B0638F"/>
    <w:rsid w:val="00B0666A"/>
    <w:rsid w:val="00B125A8"/>
    <w:rsid w:val="00B12672"/>
    <w:rsid w:val="00B12C8B"/>
    <w:rsid w:val="00B155D9"/>
    <w:rsid w:val="00B158ED"/>
    <w:rsid w:val="00B20FED"/>
    <w:rsid w:val="00B21964"/>
    <w:rsid w:val="00B236A0"/>
    <w:rsid w:val="00B23CCC"/>
    <w:rsid w:val="00B2434D"/>
    <w:rsid w:val="00B24AE5"/>
    <w:rsid w:val="00B24D29"/>
    <w:rsid w:val="00B26706"/>
    <w:rsid w:val="00B27201"/>
    <w:rsid w:val="00B3149D"/>
    <w:rsid w:val="00B337F4"/>
    <w:rsid w:val="00B346F2"/>
    <w:rsid w:val="00B34716"/>
    <w:rsid w:val="00B3737F"/>
    <w:rsid w:val="00B413F4"/>
    <w:rsid w:val="00B4191A"/>
    <w:rsid w:val="00B42841"/>
    <w:rsid w:val="00B43848"/>
    <w:rsid w:val="00B45EC8"/>
    <w:rsid w:val="00B4690D"/>
    <w:rsid w:val="00B56429"/>
    <w:rsid w:val="00B61A13"/>
    <w:rsid w:val="00B633E5"/>
    <w:rsid w:val="00B6444E"/>
    <w:rsid w:val="00B648CA"/>
    <w:rsid w:val="00B64F14"/>
    <w:rsid w:val="00B65C4E"/>
    <w:rsid w:val="00B66908"/>
    <w:rsid w:val="00B67518"/>
    <w:rsid w:val="00B720BF"/>
    <w:rsid w:val="00B74894"/>
    <w:rsid w:val="00B80AEE"/>
    <w:rsid w:val="00B82A41"/>
    <w:rsid w:val="00B82B83"/>
    <w:rsid w:val="00B833BD"/>
    <w:rsid w:val="00B83C4B"/>
    <w:rsid w:val="00B909F7"/>
    <w:rsid w:val="00B90E32"/>
    <w:rsid w:val="00B92850"/>
    <w:rsid w:val="00B931F5"/>
    <w:rsid w:val="00B9337C"/>
    <w:rsid w:val="00B93875"/>
    <w:rsid w:val="00B948D3"/>
    <w:rsid w:val="00B96538"/>
    <w:rsid w:val="00B9666C"/>
    <w:rsid w:val="00B96A24"/>
    <w:rsid w:val="00B973F5"/>
    <w:rsid w:val="00BA07E5"/>
    <w:rsid w:val="00BA2D94"/>
    <w:rsid w:val="00BA360A"/>
    <w:rsid w:val="00BA3A3A"/>
    <w:rsid w:val="00BA3EB4"/>
    <w:rsid w:val="00BA41FD"/>
    <w:rsid w:val="00BA677D"/>
    <w:rsid w:val="00BB2572"/>
    <w:rsid w:val="00BB26FF"/>
    <w:rsid w:val="00BB3E08"/>
    <w:rsid w:val="00BB3E6A"/>
    <w:rsid w:val="00BB4B26"/>
    <w:rsid w:val="00BB72D1"/>
    <w:rsid w:val="00BB7F09"/>
    <w:rsid w:val="00BC1A49"/>
    <w:rsid w:val="00BC2376"/>
    <w:rsid w:val="00BC2FF6"/>
    <w:rsid w:val="00BC3269"/>
    <w:rsid w:val="00BC373F"/>
    <w:rsid w:val="00BC37D7"/>
    <w:rsid w:val="00BC65BC"/>
    <w:rsid w:val="00BC6A1F"/>
    <w:rsid w:val="00BC6F83"/>
    <w:rsid w:val="00BD105D"/>
    <w:rsid w:val="00BD211B"/>
    <w:rsid w:val="00BD34B4"/>
    <w:rsid w:val="00BD3A9B"/>
    <w:rsid w:val="00BD3B41"/>
    <w:rsid w:val="00BD551D"/>
    <w:rsid w:val="00BD721F"/>
    <w:rsid w:val="00BD7499"/>
    <w:rsid w:val="00BE0546"/>
    <w:rsid w:val="00BE0591"/>
    <w:rsid w:val="00BE28CF"/>
    <w:rsid w:val="00BE29FA"/>
    <w:rsid w:val="00BE3908"/>
    <w:rsid w:val="00BE3AE0"/>
    <w:rsid w:val="00BE5264"/>
    <w:rsid w:val="00BE594E"/>
    <w:rsid w:val="00BE6319"/>
    <w:rsid w:val="00BF0DAA"/>
    <w:rsid w:val="00BF1224"/>
    <w:rsid w:val="00BF1475"/>
    <w:rsid w:val="00BF2C5D"/>
    <w:rsid w:val="00BF302C"/>
    <w:rsid w:val="00BF31E3"/>
    <w:rsid w:val="00BF3449"/>
    <w:rsid w:val="00BF7EFB"/>
    <w:rsid w:val="00C00137"/>
    <w:rsid w:val="00C021C2"/>
    <w:rsid w:val="00C02C17"/>
    <w:rsid w:val="00C056EE"/>
    <w:rsid w:val="00C07731"/>
    <w:rsid w:val="00C10369"/>
    <w:rsid w:val="00C107B1"/>
    <w:rsid w:val="00C1131B"/>
    <w:rsid w:val="00C11436"/>
    <w:rsid w:val="00C15024"/>
    <w:rsid w:val="00C15E15"/>
    <w:rsid w:val="00C17D16"/>
    <w:rsid w:val="00C2127B"/>
    <w:rsid w:val="00C218A9"/>
    <w:rsid w:val="00C219BF"/>
    <w:rsid w:val="00C22BA4"/>
    <w:rsid w:val="00C23391"/>
    <w:rsid w:val="00C23768"/>
    <w:rsid w:val="00C24598"/>
    <w:rsid w:val="00C259A7"/>
    <w:rsid w:val="00C25EE3"/>
    <w:rsid w:val="00C2772B"/>
    <w:rsid w:val="00C3079E"/>
    <w:rsid w:val="00C30C0F"/>
    <w:rsid w:val="00C30D25"/>
    <w:rsid w:val="00C31067"/>
    <w:rsid w:val="00C314D2"/>
    <w:rsid w:val="00C31DB9"/>
    <w:rsid w:val="00C32E6E"/>
    <w:rsid w:val="00C33F43"/>
    <w:rsid w:val="00C3478B"/>
    <w:rsid w:val="00C34E5B"/>
    <w:rsid w:val="00C35D32"/>
    <w:rsid w:val="00C365CD"/>
    <w:rsid w:val="00C415AB"/>
    <w:rsid w:val="00C41C4E"/>
    <w:rsid w:val="00C43142"/>
    <w:rsid w:val="00C436BD"/>
    <w:rsid w:val="00C45797"/>
    <w:rsid w:val="00C45B87"/>
    <w:rsid w:val="00C4732B"/>
    <w:rsid w:val="00C47874"/>
    <w:rsid w:val="00C47EE0"/>
    <w:rsid w:val="00C52F51"/>
    <w:rsid w:val="00C55411"/>
    <w:rsid w:val="00C60931"/>
    <w:rsid w:val="00C63006"/>
    <w:rsid w:val="00C6430E"/>
    <w:rsid w:val="00C64EA3"/>
    <w:rsid w:val="00C65440"/>
    <w:rsid w:val="00C66145"/>
    <w:rsid w:val="00C67568"/>
    <w:rsid w:val="00C67C31"/>
    <w:rsid w:val="00C70BA3"/>
    <w:rsid w:val="00C70E0E"/>
    <w:rsid w:val="00C71871"/>
    <w:rsid w:val="00C72740"/>
    <w:rsid w:val="00C73A4E"/>
    <w:rsid w:val="00C73A85"/>
    <w:rsid w:val="00C77756"/>
    <w:rsid w:val="00C8552D"/>
    <w:rsid w:val="00C8670D"/>
    <w:rsid w:val="00C86A15"/>
    <w:rsid w:val="00C913B6"/>
    <w:rsid w:val="00C93DBC"/>
    <w:rsid w:val="00C9499E"/>
    <w:rsid w:val="00C95014"/>
    <w:rsid w:val="00C95918"/>
    <w:rsid w:val="00C96602"/>
    <w:rsid w:val="00CA06D8"/>
    <w:rsid w:val="00CA2B12"/>
    <w:rsid w:val="00CA2B1F"/>
    <w:rsid w:val="00CA37F4"/>
    <w:rsid w:val="00CA39FD"/>
    <w:rsid w:val="00CA61C9"/>
    <w:rsid w:val="00CA6365"/>
    <w:rsid w:val="00CA6A9E"/>
    <w:rsid w:val="00CA6B02"/>
    <w:rsid w:val="00CA6EA3"/>
    <w:rsid w:val="00CB15A7"/>
    <w:rsid w:val="00CB3015"/>
    <w:rsid w:val="00CB3AEA"/>
    <w:rsid w:val="00CB3B4D"/>
    <w:rsid w:val="00CB4527"/>
    <w:rsid w:val="00CB68AD"/>
    <w:rsid w:val="00CB7E09"/>
    <w:rsid w:val="00CC1EE1"/>
    <w:rsid w:val="00CC59BD"/>
    <w:rsid w:val="00CC6FF8"/>
    <w:rsid w:val="00CC77F1"/>
    <w:rsid w:val="00CD0FE4"/>
    <w:rsid w:val="00CD1B1C"/>
    <w:rsid w:val="00CD227D"/>
    <w:rsid w:val="00CD4676"/>
    <w:rsid w:val="00CD4804"/>
    <w:rsid w:val="00CD6338"/>
    <w:rsid w:val="00CD649E"/>
    <w:rsid w:val="00CD65E6"/>
    <w:rsid w:val="00CD6C9A"/>
    <w:rsid w:val="00CE0C9D"/>
    <w:rsid w:val="00CE2323"/>
    <w:rsid w:val="00CE2B4C"/>
    <w:rsid w:val="00CE2E30"/>
    <w:rsid w:val="00CE342C"/>
    <w:rsid w:val="00CE3E32"/>
    <w:rsid w:val="00CE4B53"/>
    <w:rsid w:val="00CE6D02"/>
    <w:rsid w:val="00CE7224"/>
    <w:rsid w:val="00CF0225"/>
    <w:rsid w:val="00CF126C"/>
    <w:rsid w:val="00CF12BD"/>
    <w:rsid w:val="00CF14E0"/>
    <w:rsid w:val="00CF26C0"/>
    <w:rsid w:val="00CF38B3"/>
    <w:rsid w:val="00CF675D"/>
    <w:rsid w:val="00CF6C9D"/>
    <w:rsid w:val="00D029C0"/>
    <w:rsid w:val="00D03DE2"/>
    <w:rsid w:val="00D04317"/>
    <w:rsid w:val="00D04A07"/>
    <w:rsid w:val="00D0664D"/>
    <w:rsid w:val="00D07718"/>
    <w:rsid w:val="00D07EB4"/>
    <w:rsid w:val="00D100FB"/>
    <w:rsid w:val="00D10164"/>
    <w:rsid w:val="00D1255B"/>
    <w:rsid w:val="00D147D3"/>
    <w:rsid w:val="00D157B6"/>
    <w:rsid w:val="00D16D12"/>
    <w:rsid w:val="00D2014D"/>
    <w:rsid w:val="00D20AE5"/>
    <w:rsid w:val="00D224A6"/>
    <w:rsid w:val="00D22A0E"/>
    <w:rsid w:val="00D23CDC"/>
    <w:rsid w:val="00D268EB"/>
    <w:rsid w:val="00D26E40"/>
    <w:rsid w:val="00D274C6"/>
    <w:rsid w:val="00D27D99"/>
    <w:rsid w:val="00D30617"/>
    <w:rsid w:val="00D32A1A"/>
    <w:rsid w:val="00D32A2E"/>
    <w:rsid w:val="00D34468"/>
    <w:rsid w:val="00D357F1"/>
    <w:rsid w:val="00D36652"/>
    <w:rsid w:val="00D36B77"/>
    <w:rsid w:val="00D41DCE"/>
    <w:rsid w:val="00D42AA0"/>
    <w:rsid w:val="00D42B5C"/>
    <w:rsid w:val="00D456D8"/>
    <w:rsid w:val="00D4596F"/>
    <w:rsid w:val="00D45A0E"/>
    <w:rsid w:val="00D46B25"/>
    <w:rsid w:val="00D4758C"/>
    <w:rsid w:val="00D47BE3"/>
    <w:rsid w:val="00D501C6"/>
    <w:rsid w:val="00D524D1"/>
    <w:rsid w:val="00D54862"/>
    <w:rsid w:val="00D56786"/>
    <w:rsid w:val="00D6145B"/>
    <w:rsid w:val="00D61EAB"/>
    <w:rsid w:val="00D64444"/>
    <w:rsid w:val="00D67015"/>
    <w:rsid w:val="00D6794A"/>
    <w:rsid w:val="00D701D3"/>
    <w:rsid w:val="00D7326F"/>
    <w:rsid w:val="00D7445F"/>
    <w:rsid w:val="00D75D54"/>
    <w:rsid w:val="00D76AD9"/>
    <w:rsid w:val="00D76B3C"/>
    <w:rsid w:val="00D80343"/>
    <w:rsid w:val="00D81EA2"/>
    <w:rsid w:val="00D82CD3"/>
    <w:rsid w:val="00D8438A"/>
    <w:rsid w:val="00D852A3"/>
    <w:rsid w:val="00D85943"/>
    <w:rsid w:val="00D86F71"/>
    <w:rsid w:val="00D87B02"/>
    <w:rsid w:val="00D90F83"/>
    <w:rsid w:val="00D92B1D"/>
    <w:rsid w:val="00D95074"/>
    <w:rsid w:val="00D97707"/>
    <w:rsid w:val="00D97C98"/>
    <w:rsid w:val="00DA1647"/>
    <w:rsid w:val="00DA1D8D"/>
    <w:rsid w:val="00DA442C"/>
    <w:rsid w:val="00DA4D78"/>
    <w:rsid w:val="00DA4F3E"/>
    <w:rsid w:val="00DB069D"/>
    <w:rsid w:val="00DB0928"/>
    <w:rsid w:val="00DB190D"/>
    <w:rsid w:val="00DB401D"/>
    <w:rsid w:val="00DB46C3"/>
    <w:rsid w:val="00DB6274"/>
    <w:rsid w:val="00DB6471"/>
    <w:rsid w:val="00DB6F72"/>
    <w:rsid w:val="00DB71B8"/>
    <w:rsid w:val="00DB7BFD"/>
    <w:rsid w:val="00DC0E31"/>
    <w:rsid w:val="00DC2F4F"/>
    <w:rsid w:val="00DC46DD"/>
    <w:rsid w:val="00DC6590"/>
    <w:rsid w:val="00DC70D0"/>
    <w:rsid w:val="00DC7DD6"/>
    <w:rsid w:val="00DD092F"/>
    <w:rsid w:val="00DD2106"/>
    <w:rsid w:val="00DD249A"/>
    <w:rsid w:val="00DD4FE6"/>
    <w:rsid w:val="00DD5EA6"/>
    <w:rsid w:val="00DD6F1D"/>
    <w:rsid w:val="00DD6F21"/>
    <w:rsid w:val="00DE2BF2"/>
    <w:rsid w:val="00DE2FD2"/>
    <w:rsid w:val="00DE3FBA"/>
    <w:rsid w:val="00DE58E7"/>
    <w:rsid w:val="00DE58FA"/>
    <w:rsid w:val="00DE5C8D"/>
    <w:rsid w:val="00DE662C"/>
    <w:rsid w:val="00DF0117"/>
    <w:rsid w:val="00DF1388"/>
    <w:rsid w:val="00DF13AD"/>
    <w:rsid w:val="00DF1EEF"/>
    <w:rsid w:val="00DF2422"/>
    <w:rsid w:val="00DF2E0A"/>
    <w:rsid w:val="00DF5BE8"/>
    <w:rsid w:val="00DF65F0"/>
    <w:rsid w:val="00DF7D26"/>
    <w:rsid w:val="00E00164"/>
    <w:rsid w:val="00E030D7"/>
    <w:rsid w:val="00E03A2F"/>
    <w:rsid w:val="00E03CCA"/>
    <w:rsid w:val="00E048C4"/>
    <w:rsid w:val="00E04B36"/>
    <w:rsid w:val="00E04F17"/>
    <w:rsid w:val="00E05A7B"/>
    <w:rsid w:val="00E06D67"/>
    <w:rsid w:val="00E06DB6"/>
    <w:rsid w:val="00E12BD2"/>
    <w:rsid w:val="00E13146"/>
    <w:rsid w:val="00E141E2"/>
    <w:rsid w:val="00E14394"/>
    <w:rsid w:val="00E14FE2"/>
    <w:rsid w:val="00E174FC"/>
    <w:rsid w:val="00E20070"/>
    <w:rsid w:val="00E20994"/>
    <w:rsid w:val="00E20B90"/>
    <w:rsid w:val="00E22124"/>
    <w:rsid w:val="00E22C45"/>
    <w:rsid w:val="00E23874"/>
    <w:rsid w:val="00E23F9C"/>
    <w:rsid w:val="00E25B41"/>
    <w:rsid w:val="00E261AD"/>
    <w:rsid w:val="00E276ED"/>
    <w:rsid w:val="00E317D8"/>
    <w:rsid w:val="00E324C0"/>
    <w:rsid w:val="00E33DC5"/>
    <w:rsid w:val="00E33F7B"/>
    <w:rsid w:val="00E37EBB"/>
    <w:rsid w:val="00E40344"/>
    <w:rsid w:val="00E41640"/>
    <w:rsid w:val="00E41C23"/>
    <w:rsid w:val="00E42143"/>
    <w:rsid w:val="00E431DD"/>
    <w:rsid w:val="00E47618"/>
    <w:rsid w:val="00E503AC"/>
    <w:rsid w:val="00E52DFB"/>
    <w:rsid w:val="00E53546"/>
    <w:rsid w:val="00E535AD"/>
    <w:rsid w:val="00E5366A"/>
    <w:rsid w:val="00E576BD"/>
    <w:rsid w:val="00E5778B"/>
    <w:rsid w:val="00E57BE9"/>
    <w:rsid w:val="00E612DF"/>
    <w:rsid w:val="00E61B9C"/>
    <w:rsid w:val="00E62300"/>
    <w:rsid w:val="00E631DA"/>
    <w:rsid w:val="00E632B8"/>
    <w:rsid w:val="00E6561D"/>
    <w:rsid w:val="00E663A6"/>
    <w:rsid w:val="00E664F4"/>
    <w:rsid w:val="00E66790"/>
    <w:rsid w:val="00E67086"/>
    <w:rsid w:val="00E671FF"/>
    <w:rsid w:val="00E70A65"/>
    <w:rsid w:val="00E70D85"/>
    <w:rsid w:val="00E857E4"/>
    <w:rsid w:val="00E85B05"/>
    <w:rsid w:val="00E86731"/>
    <w:rsid w:val="00E871B1"/>
    <w:rsid w:val="00E904B1"/>
    <w:rsid w:val="00E905E9"/>
    <w:rsid w:val="00E9139D"/>
    <w:rsid w:val="00E91F98"/>
    <w:rsid w:val="00E92487"/>
    <w:rsid w:val="00E92A7F"/>
    <w:rsid w:val="00E934F7"/>
    <w:rsid w:val="00E9357D"/>
    <w:rsid w:val="00E94CE7"/>
    <w:rsid w:val="00E96491"/>
    <w:rsid w:val="00E96A61"/>
    <w:rsid w:val="00EA00C9"/>
    <w:rsid w:val="00EA0A4E"/>
    <w:rsid w:val="00EA1325"/>
    <w:rsid w:val="00EA169D"/>
    <w:rsid w:val="00EA230F"/>
    <w:rsid w:val="00EA360E"/>
    <w:rsid w:val="00EA3B02"/>
    <w:rsid w:val="00EA491B"/>
    <w:rsid w:val="00EA5A59"/>
    <w:rsid w:val="00EA63E7"/>
    <w:rsid w:val="00EA6443"/>
    <w:rsid w:val="00EB3301"/>
    <w:rsid w:val="00EB37B2"/>
    <w:rsid w:val="00EB40F9"/>
    <w:rsid w:val="00EC11E9"/>
    <w:rsid w:val="00EC2D9F"/>
    <w:rsid w:val="00EC3464"/>
    <w:rsid w:val="00EC629B"/>
    <w:rsid w:val="00EC66BF"/>
    <w:rsid w:val="00ED05FE"/>
    <w:rsid w:val="00ED13D9"/>
    <w:rsid w:val="00ED169E"/>
    <w:rsid w:val="00ED16F7"/>
    <w:rsid w:val="00ED2E5C"/>
    <w:rsid w:val="00ED7C3C"/>
    <w:rsid w:val="00EE252C"/>
    <w:rsid w:val="00EE3077"/>
    <w:rsid w:val="00EE35E1"/>
    <w:rsid w:val="00EE3983"/>
    <w:rsid w:val="00EE4483"/>
    <w:rsid w:val="00EE4A18"/>
    <w:rsid w:val="00EE4B55"/>
    <w:rsid w:val="00EE5F50"/>
    <w:rsid w:val="00EE7EE8"/>
    <w:rsid w:val="00EF1CA9"/>
    <w:rsid w:val="00EF27B1"/>
    <w:rsid w:val="00EF2B7F"/>
    <w:rsid w:val="00EF61D1"/>
    <w:rsid w:val="00EF7466"/>
    <w:rsid w:val="00F01A8B"/>
    <w:rsid w:val="00F0465D"/>
    <w:rsid w:val="00F04BFD"/>
    <w:rsid w:val="00F104A4"/>
    <w:rsid w:val="00F107B2"/>
    <w:rsid w:val="00F129DE"/>
    <w:rsid w:val="00F12EC3"/>
    <w:rsid w:val="00F13EE8"/>
    <w:rsid w:val="00F149B8"/>
    <w:rsid w:val="00F15322"/>
    <w:rsid w:val="00F154D0"/>
    <w:rsid w:val="00F1674C"/>
    <w:rsid w:val="00F201A8"/>
    <w:rsid w:val="00F22E6E"/>
    <w:rsid w:val="00F24C6D"/>
    <w:rsid w:val="00F256B5"/>
    <w:rsid w:val="00F261D6"/>
    <w:rsid w:val="00F26DCC"/>
    <w:rsid w:val="00F275D3"/>
    <w:rsid w:val="00F31E2B"/>
    <w:rsid w:val="00F32FD4"/>
    <w:rsid w:val="00F33B86"/>
    <w:rsid w:val="00F35911"/>
    <w:rsid w:val="00F35ADA"/>
    <w:rsid w:val="00F377FF"/>
    <w:rsid w:val="00F37E36"/>
    <w:rsid w:val="00F41480"/>
    <w:rsid w:val="00F41E7B"/>
    <w:rsid w:val="00F42446"/>
    <w:rsid w:val="00F42D43"/>
    <w:rsid w:val="00F459E5"/>
    <w:rsid w:val="00F508EE"/>
    <w:rsid w:val="00F529B0"/>
    <w:rsid w:val="00F53612"/>
    <w:rsid w:val="00F53BDD"/>
    <w:rsid w:val="00F54874"/>
    <w:rsid w:val="00F54B79"/>
    <w:rsid w:val="00F5591D"/>
    <w:rsid w:val="00F57965"/>
    <w:rsid w:val="00F616D8"/>
    <w:rsid w:val="00F6328D"/>
    <w:rsid w:val="00F639DE"/>
    <w:rsid w:val="00F67BDE"/>
    <w:rsid w:val="00F72B1B"/>
    <w:rsid w:val="00F73464"/>
    <w:rsid w:val="00F7603A"/>
    <w:rsid w:val="00F77E12"/>
    <w:rsid w:val="00F77E29"/>
    <w:rsid w:val="00F80B28"/>
    <w:rsid w:val="00F814DE"/>
    <w:rsid w:val="00F81CC3"/>
    <w:rsid w:val="00F82F9C"/>
    <w:rsid w:val="00F865A4"/>
    <w:rsid w:val="00F90045"/>
    <w:rsid w:val="00F90508"/>
    <w:rsid w:val="00F91FB8"/>
    <w:rsid w:val="00F920CF"/>
    <w:rsid w:val="00F925FE"/>
    <w:rsid w:val="00F92795"/>
    <w:rsid w:val="00FA1378"/>
    <w:rsid w:val="00FA156F"/>
    <w:rsid w:val="00FA20D9"/>
    <w:rsid w:val="00FA28D1"/>
    <w:rsid w:val="00FA3304"/>
    <w:rsid w:val="00FA490F"/>
    <w:rsid w:val="00FA5028"/>
    <w:rsid w:val="00FA5D82"/>
    <w:rsid w:val="00FA6558"/>
    <w:rsid w:val="00FA66AA"/>
    <w:rsid w:val="00FA72F0"/>
    <w:rsid w:val="00FB0655"/>
    <w:rsid w:val="00FB14D3"/>
    <w:rsid w:val="00FB1DD7"/>
    <w:rsid w:val="00FB3C45"/>
    <w:rsid w:val="00FB48AE"/>
    <w:rsid w:val="00FC1F75"/>
    <w:rsid w:val="00FC2956"/>
    <w:rsid w:val="00FC668A"/>
    <w:rsid w:val="00FC6B1D"/>
    <w:rsid w:val="00FD02C3"/>
    <w:rsid w:val="00FD03BB"/>
    <w:rsid w:val="00FD0543"/>
    <w:rsid w:val="00FD054C"/>
    <w:rsid w:val="00FD1DD8"/>
    <w:rsid w:val="00FD489B"/>
    <w:rsid w:val="00FD530D"/>
    <w:rsid w:val="00FD720C"/>
    <w:rsid w:val="00FD7725"/>
    <w:rsid w:val="00FD7AFD"/>
    <w:rsid w:val="00FE01A7"/>
    <w:rsid w:val="00FE0217"/>
    <w:rsid w:val="00FE0DE5"/>
    <w:rsid w:val="00FE2FA3"/>
    <w:rsid w:val="00FE3642"/>
    <w:rsid w:val="00FE41E4"/>
    <w:rsid w:val="00FE4C4C"/>
    <w:rsid w:val="00FE4E3E"/>
    <w:rsid w:val="00FE6163"/>
    <w:rsid w:val="00FE6C15"/>
    <w:rsid w:val="00FE6C49"/>
    <w:rsid w:val="00FE7ABB"/>
    <w:rsid w:val="00FE7F0B"/>
    <w:rsid w:val="00FF1070"/>
    <w:rsid w:val="00FF1DFC"/>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084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50A"/>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0139"/>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character" w:styleId="UnresolvedMention">
    <w:name w:val="Unresolved Mention"/>
    <w:uiPriority w:val="99"/>
    <w:semiHidden/>
    <w:unhideWhenUsed/>
    <w:rsid w:val="006F613E"/>
    <w:rPr>
      <w:color w:val="605E5C"/>
      <w:shd w:val="clear" w:color="auto" w:fill="E1DFDD"/>
    </w:rPr>
  </w:style>
  <w:style w:type="paragraph" w:customStyle="1" w:styleId="EX">
    <w:name w:val="EX"/>
    <w:basedOn w:val="Normal"/>
    <w:rsid w:val="008567BF"/>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eastAsia="en-GB"/>
    </w:rPr>
  </w:style>
  <w:style w:type="character" w:customStyle="1" w:styleId="B1Char1">
    <w:name w:val="B1 Char1"/>
    <w:locked/>
    <w:rsid w:val="008567BF"/>
    <w:rPr>
      <w:lang w:val="en-GB" w:eastAsia="en-GB"/>
    </w:rPr>
  </w:style>
  <w:style w:type="character" w:customStyle="1" w:styleId="ui-provider">
    <w:name w:val="ui-provider"/>
    <w:basedOn w:val="DefaultParagraphFont"/>
    <w:rsid w:val="00D9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64302351">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92767043">
      <w:bodyDiv w:val="1"/>
      <w:marLeft w:val="0"/>
      <w:marRight w:val="0"/>
      <w:marTop w:val="0"/>
      <w:marBottom w:val="0"/>
      <w:divBdr>
        <w:top w:val="none" w:sz="0" w:space="0" w:color="auto"/>
        <w:left w:val="none" w:sz="0" w:space="0" w:color="auto"/>
        <w:bottom w:val="none" w:sz="0" w:space="0" w:color="auto"/>
        <w:right w:val="none" w:sz="0" w:space="0" w:color="auto"/>
      </w:divBdr>
      <w:divsChild>
        <w:div w:id="417487026">
          <w:marLeft w:val="446"/>
          <w:marRight w:val="0"/>
          <w:marTop w:val="0"/>
          <w:marBottom w:val="240"/>
          <w:divBdr>
            <w:top w:val="none" w:sz="0" w:space="0" w:color="auto"/>
            <w:left w:val="none" w:sz="0" w:space="0" w:color="auto"/>
            <w:bottom w:val="none" w:sz="0" w:space="0" w:color="auto"/>
            <w:right w:val="none" w:sz="0" w:space="0" w:color="auto"/>
          </w:divBdr>
        </w:div>
        <w:div w:id="671182176">
          <w:marLeft w:val="446"/>
          <w:marRight w:val="0"/>
          <w:marTop w:val="0"/>
          <w:marBottom w:val="240"/>
          <w:divBdr>
            <w:top w:val="none" w:sz="0" w:space="0" w:color="auto"/>
            <w:left w:val="none" w:sz="0" w:space="0" w:color="auto"/>
            <w:bottom w:val="none" w:sz="0" w:space="0" w:color="auto"/>
            <w:right w:val="none" w:sz="0" w:space="0" w:color="auto"/>
          </w:divBdr>
        </w:div>
        <w:div w:id="1371344488">
          <w:marLeft w:val="446"/>
          <w:marRight w:val="0"/>
          <w:marTop w:val="0"/>
          <w:marBottom w:val="240"/>
          <w:divBdr>
            <w:top w:val="none" w:sz="0" w:space="0" w:color="auto"/>
            <w:left w:val="none" w:sz="0" w:space="0" w:color="auto"/>
            <w:bottom w:val="none" w:sz="0" w:space="0" w:color="auto"/>
            <w:right w:val="none" w:sz="0" w:space="0" w:color="auto"/>
          </w:divBdr>
        </w:div>
        <w:div w:id="1398671396">
          <w:marLeft w:val="446"/>
          <w:marRight w:val="0"/>
          <w:marTop w:val="0"/>
          <w:marBottom w:val="240"/>
          <w:divBdr>
            <w:top w:val="none" w:sz="0" w:space="0" w:color="auto"/>
            <w:left w:val="none" w:sz="0" w:space="0" w:color="auto"/>
            <w:bottom w:val="none" w:sz="0" w:space="0" w:color="auto"/>
            <w:right w:val="none" w:sz="0" w:space="0" w:color="auto"/>
          </w:divBdr>
        </w:div>
        <w:div w:id="1526753592">
          <w:marLeft w:val="446"/>
          <w:marRight w:val="0"/>
          <w:marTop w:val="0"/>
          <w:marBottom w:val="240"/>
          <w:divBdr>
            <w:top w:val="none" w:sz="0" w:space="0" w:color="auto"/>
            <w:left w:val="none" w:sz="0" w:space="0" w:color="auto"/>
            <w:bottom w:val="none" w:sz="0" w:space="0" w:color="auto"/>
            <w:right w:val="none" w:sz="0" w:space="0" w:color="auto"/>
          </w:divBdr>
        </w:div>
        <w:div w:id="1601446593">
          <w:marLeft w:val="446"/>
          <w:marRight w:val="0"/>
          <w:marTop w:val="0"/>
          <w:marBottom w:val="240"/>
          <w:divBdr>
            <w:top w:val="none" w:sz="0" w:space="0" w:color="auto"/>
            <w:left w:val="none" w:sz="0" w:space="0" w:color="auto"/>
            <w:bottom w:val="none" w:sz="0" w:space="0" w:color="auto"/>
            <w:right w:val="none" w:sz="0" w:space="0" w:color="auto"/>
          </w:divBdr>
        </w:div>
        <w:div w:id="1619290530">
          <w:marLeft w:val="446"/>
          <w:marRight w:val="0"/>
          <w:marTop w:val="0"/>
          <w:marBottom w:val="240"/>
          <w:divBdr>
            <w:top w:val="none" w:sz="0" w:space="0" w:color="auto"/>
            <w:left w:val="none" w:sz="0" w:space="0" w:color="auto"/>
            <w:bottom w:val="none" w:sz="0" w:space="0" w:color="auto"/>
            <w:right w:val="none" w:sz="0" w:space="0" w:color="auto"/>
          </w:divBdr>
        </w:div>
        <w:div w:id="1808859974">
          <w:marLeft w:val="446"/>
          <w:marRight w:val="0"/>
          <w:marTop w:val="0"/>
          <w:marBottom w:val="240"/>
          <w:divBdr>
            <w:top w:val="none" w:sz="0" w:space="0" w:color="auto"/>
            <w:left w:val="none" w:sz="0" w:space="0" w:color="auto"/>
            <w:bottom w:val="none" w:sz="0" w:space="0" w:color="auto"/>
            <w:right w:val="none" w:sz="0" w:space="0" w:color="auto"/>
          </w:divBdr>
        </w:div>
        <w:div w:id="1856731190">
          <w:marLeft w:val="446"/>
          <w:marRight w:val="0"/>
          <w:marTop w:val="0"/>
          <w:marBottom w:val="240"/>
          <w:divBdr>
            <w:top w:val="none" w:sz="0" w:space="0" w:color="auto"/>
            <w:left w:val="none" w:sz="0" w:space="0" w:color="auto"/>
            <w:bottom w:val="none" w:sz="0" w:space="0" w:color="auto"/>
            <w:right w:val="none" w:sz="0" w:space="0" w:color="auto"/>
          </w:divBdr>
        </w:div>
        <w:div w:id="1903639097">
          <w:marLeft w:val="446"/>
          <w:marRight w:val="0"/>
          <w:marTop w:val="0"/>
          <w:marBottom w:val="240"/>
          <w:divBdr>
            <w:top w:val="none" w:sz="0" w:space="0" w:color="auto"/>
            <w:left w:val="none" w:sz="0" w:space="0" w:color="auto"/>
            <w:bottom w:val="none" w:sz="0" w:space="0" w:color="auto"/>
            <w:right w:val="none" w:sz="0" w:space="0" w:color="auto"/>
          </w:divBdr>
        </w:div>
        <w:div w:id="2008895519">
          <w:marLeft w:val="446"/>
          <w:marRight w:val="0"/>
          <w:marTop w:val="0"/>
          <w:marBottom w:val="240"/>
          <w:divBdr>
            <w:top w:val="none" w:sz="0" w:space="0" w:color="auto"/>
            <w:left w:val="none" w:sz="0" w:space="0" w:color="auto"/>
            <w:bottom w:val="none" w:sz="0" w:space="0" w:color="auto"/>
            <w:right w:val="none" w:sz="0" w:space="0" w:color="auto"/>
          </w:divBdr>
        </w:div>
        <w:div w:id="2057970871">
          <w:marLeft w:val="446"/>
          <w:marRight w:val="0"/>
          <w:marTop w:val="0"/>
          <w:marBottom w:val="240"/>
          <w:divBdr>
            <w:top w:val="none" w:sz="0" w:space="0" w:color="auto"/>
            <w:left w:val="none" w:sz="0" w:space="0" w:color="auto"/>
            <w:bottom w:val="none" w:sz="0" w:space="0" w:color="auto"/>
            <w:right w:val="none" w:sz="0" w:space="0" w:color="auto"/>
          </w:divBdr>
        </w:div>
      </w:divsChild>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68437900">
      <w:bodyDiv w:val="1"/>
      <w:marLeft w:val="0"/>
      <w:marRight w:val="0"/>
      <w:marTop w:val="0"/>
      <w:marBottom w:val="0"/>
      <w:divBdr>
        <w:top w:val="none" w:sz="0" w:space="0" w:color="auto"/>
        <w:left w:val="none" w:sz="0" w:space="0" w:color="auto"/>
        <w:bottom w:val="none" w:sz="0" w:space="0" w:color="auto"/>
        <w:right w:val="none" w:sz="0" w:space="0" w:color="auto"/>
      </w:divBdr>
      <w:divsChild>
        <w:div w:id="17127950">
          <w:marLeft w:val="446"/>
          <w:marRight w:val="0"/>
          <w:marTop w:val="0"/>
          <w:marBottom w:val="240"/>
          <w:divBdr>
            <w:top w:val="none" w:sz="0" w:space="0" w:color="auto"/>
            <w:left w:val="none" w:sz="0" w:space="0" w:color="auto"/>
            <w:bottom w:val="none" w:sz="0" w:space="0" w:color="auto"/>
            <w:right w:val="none" w:sz="0" w:space="0" w:color="auto"/>
          </w:divBdr>
        </w:div>
        <w:div w:id="437069411">
          <w:marLeft w:val="446"/>
          <w:marRight w:val="0"/>
          <w:marTop w:val="0"/>
          <w:marBottom w:val="240"/>
          <w:divBdr>
            <w:top w:val="none" w:sz="0" w:space="0" w:color="auto"/>
            <w:left w:val="none" w:sz="0" w:space="0" w:color="auto"/>
            <w:bottom w:val="none" w:sz="0" w:space="0" w:color="auto"/>
            <w:right w:val="none" w:sz="0" w:space="0" w:color="auto"/>
          </w:divBdr>
        </w:div>
        <w:div w:id="669869146">
          <w:marLeft w:val="734"/>
          <w:marRight w:val="0"/>
          <w:marTop w:val="0"/>
          <w:marBottom w:val="240"/>
          <w:divBdr>
            <w:top w:val="none" w:sz="0" w:space="0" w:color="auto"/>
            <w:left w:val="none" w:sz="0" w:space="0" w:color="auto"/>
            <w:bottom w:val="none" w:sz="0" w:space="0" w:color="auto"/>
            <w:right w:val="none" w:sz="0" w:space="0" w:color="auto"/>
          </w:divBdr>
        </w:div>
        <w:div w:id="1077246312">
          <w:marLeft w:val="734"/>
          <w:marRight w:val="0"/>
          <w:marTop w:val="0"/>
          <w:marBottom w:val="240"/>
          <w:divBdr>
            <w:top w:val="none" w:sz="0" w:space="0" w:color="auto"/>
            <w:left w:val="none" w:sz="0" w:space="0" w:color="auto"/>
            <w:bottom w:val="none" w:sz="0" w:space="0" w:color="auto"/>
            <w:right w:val="none" w:sz="0" w:space="0" w:color="auto"/>
          </w:divBdr>
        </w:div>
        <w:div w:id="1514954389">
          <w:marLeft w:val="734"/>
          <w:marRight w:val="0"/>
          <w:marTop w:val="0"/>
          <w:marBottom w:val="240"/>
          <w:divBdr>
            <w:top w:val="none" w:sz="0" w:space="0" w:color="auto"/>
            <w:left w:val="none" w:sz="0" w:space="0" w:color="auto"/>
            <w:bottom w:val="none" w:sz="0" w:space="0" w:color="auto"/>
            <w:right w:val="none" w:sz="0" w:space="0" w:color="auto"/>
          </w:divBdr>
        </w:div>
        <w:div w:id="1524124607">
          <w:marLeft w:val="446"/>
          <w:marRight w:val="0"/>
          <w:marTop w:val="0"/>
          <w:marBottom w:val="240"/>
          <w:divBdr>
            <w:top w:val="none" w:sz="0" w:space="0" w:color="auto"/>
            <w:left w:val="none" w:sz="0" w:space="0" w:color="auto"/>
            <w:bottom w:val="none" w:sz="0" w:space="0" w:color="auto"/>
            <w:right w:val="none" w:sz="0" w:space="0" w:color="auto"/>
          </w:divBdr>
        </w:div>
        <w:div w:id="2020307958">
          <w:marLeft w:val="734"/>
          <w:marRight w:val="0"/>
          <w:marTop w:val="0"/>
          <w:marBottom w:val="240"/>
          <w:divBdr>
            <w:top w:val="none" w:sz="0" w:space="0" w:color="auto"/>
            <w:left w:val="none" w:sz="0" w:space="0" w:color="auto"/>
            <w:bottom w:val="none" w:sz="0" w:space="0" w:color="auto"/>
            <w:right w:val="none" w:sz="0" w:space="0" w:color="auto"/>
          </w:divBdr>
        </w:div>
        <w:div w:id="2134322961">
          <w:marLeft w:val="446"/>
          <w:marRight w:val="0"/>
          <w:marTop w:val="0"/>
          <w:marBottom w:val="240"/>
          <w:divBdr>
            <w:top w:val="none" w:sz="0" w:space="0" w:color="auto"/>
            <w:left w:val="none" w:sz="0" w:space="0" w:color="auto"/>
            <w:bottom w:val="none" w:sz="0" w:space="0" w:color="auto"/>
            <w:right w:val="none" w:sz="0" w:space="0" w:color="auto"/>
          </w:divBdr>
        </w:div>
      </w:divsChild>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12637467">
      <w:bodyDiv w:val="1"/>
      <w:marLeft w:val="0"/>
      <w:marRight w:val="0"/>
      <w:marTop w:val="0"/>
      <w:marBottom w:val="0"/>
      <w:divBdr>
        <w:top w:val="none" w:sz="0" w:space="0" w:color="auto"/>
        <w:left w:val="none" w:sz="0" w:space="0" w:color="auto"/>
        <w:bottom w:val="none" w:sz="0" w:space="0" w:color="auto"/>
        <w:right w:val="none" w:sz="0" w:space="0" w:color="auto"/>
      </w:divBdr>
      <w:divsChild>
        <w:div w:id="186412276">
          <w:marLeft w:val="1080"/>
          <w:marRight w:val="0"/>
          <w:marTop w:val="0"/>
          <w:marBottom w:val="240"/>
          <w:divBdr>
            <w:top w:val="none" w:sz="0" w:space="0" w:color="auto"/>
            <w:left w:val="none" w:sz="0" w:space="0" w:color="auto"/>
            <w:bottom w:val="none" w:sz="0" w:space="0" w:color="auto"/>
            <w:right w:val="none" w:sz="0" w:space="0" w:color="auto"/>
          </w:divBdr>
        </w:div>
        <w:div w:id="691959381">
          <w:marLeft w:val="446"/>
          <w:marRight w:val="0"/>
          <w:marTop w:val="0"/>
          <w:marBottom w:val="240"/>
          <w:divBdr>
            <w:top w:val="none" w:sz="0" w:space="0" w:color="auto"/>
            <w:left w:val="none" w:sz="0" w:space="0" w:color="auto"/>
            <w:bottom w:val="none" w:sz="0" w:space="0" w:color="auto"/>
            <w:right w:val="none" w:sz="0" w:space="0" w:color="auto"/>
          </w:divBdr>
        </w:div>
        <w:div w:id="1448699015">
          <w:marLeft w:val="446"/>
          <w:marRight w:val="0"/>
          <w:marTop w:val="0"/>
          <w:marBottom w:val="240"/>
          <w:divBdr>
            <w:top w:val="none" w:sz="0" w:space="0" w:color="auto"/>
            <w:left w:val="none" w:sz="0" w:space="0" w:color="auto"/>
            <w:bottom w:val="none" w:sz="0" w:space="0" w:color="auto"/>
            <w:right w:val="none" w:sz="0" w:space="0" w:color="auto"/>
          </w:divBdr>
        </w:div>
        <w:div w:id="1536768144">
          <w:marLeft w:val="1080"/>
          <w:marRight w:val="0"/>
          <w:marTop w:val="0"/>
          <w:marBottom w:val="240"/>
          <w:divBdr>
            <w:top w:val="none" w:sz="0" w:space="0" w:color="auto"/>
            <w:left w:val="none" w:sz="0" w:space="0" w:color="auto"/>
            <w:bottom w:val="none" w:sz="0" w:space="0" w:color="auto"/>
            <w:right w:val="none" w:sz="0" w:space="0" w:color="auto"/>
          </w:divBdr>
        </w:div>
        <w:div w:id="1604873221">
          <w:marLeft w:val="446"/>
          <w:marRight w:val="0"/>
          <w:marTop w:val="0"/>
          <w:marBottom w:val="240"/>
          <w:divBdr>
            <w:top w:val="none" w:sz="0" w:space="0" w:color="auto"/>
            <w:left w:val="none" w:sz="0" w:space="0" w:color="auto"/>
            <w:bottom w:val="none" w:sz="0" w:space="0" w:color="auto"/>
            <w:right w:val="none" w:sz="0" w:space="0" w:color="auto"/>
          </w:divBdr>
        </w:div>
        <w:div w:id="2015957601">
          <w:marLeft w:val="1080"/>
          <w:marRight w:val="0"/>
          <w:marTop w:val="0"/>
          <w:marBottom w:val="240"/>
          <w:divBdr>
            <w:top w:val="none" w:sz="0" w:space="0" w:color="auto"/>
            <w:left w:val="none" w:sz="0" w:space="0" w:color="auto"/>
            <w:bottom w:val="none" w:sz="0" w:space="0" w:color="auto"/>
            <w:right w:val="none" w:sz="0" w:space="0" w:color="auto"/>
          </w:divBdr>
        </w:div>
        <w:div w:id="2021002961">
          <w:marLeft w:val="446"/>
          <w:marRight w:val="0"/>
          <w:marTop w:val="0"/>
          <w:marBottom w:val="240"/>
          <w:divBdr>
            <w:top w:val="none" w:sz="0" w:space="0" w:color="auto"/>
            <w:left w:val="none" w:sz="0" w:space="0" w:color="auto"/>
            <w:bottom w:val="none" w:sz="0" w:space="0" w:color="auto"/>
            <w:right w:val="none" w:sz="0" w:space="0" w:color="auto"/>
          </w:divBdr>
        </w:div>
      </w:divsChild>
    </w:div>
    <w:div w:id="312761783">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32290345">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3543963">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08335">
      <w:bodyDiv w:val="1"/>
      <w:marLeft w:val="0"/>
      <w:marRight w:val="0"/>
      <w:marTop w:val="0"/>
      <w:marBottom w:val="0"/>
      <w:divBdr>
        <w:top w:val="none" w:sz="0" w:space="0" w:color="auto"/>
        <w:left w:val="none" w:sz="0" w:space="0" w:color="auto"/>
        <w:bottom w:val="none" w:sz="0" w:space="0" w:color="auto"/>
        <w:right w:val="none" w:sz="0" w:space="0" w:color="auto"/>
      </w:divBdr>
      <w:divsChild>
        <w:div w:id="379136694">
          <w:marLeft w:val="547"/>
          <w:marRight w:val="0"/>
          <w:marTop w:val="0"/>
          <w:marBottom w:val="0"/>
          <w:divBdr>
            <w:top w:val="none" w:sz="0" w:space="0" w:color="auto"/>
            <w:left w:val="none" w:sz="0" w:space="0" w:color="auto"/>
            <w:bottom w:val="none" w:sz="0" w:space="0" w:color="auto"/>
            <w:right w:val="none" w:sz="0" w:space="0" w:color="auto"/>
          </w:divBdr>
        </w:div>
      </w:divsChild>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43951354">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31861045">
      <w:bodyDiv w:val="1"/>
      <w:marLeft w:val="0"/>
      <w:marRight w:val="0"/>
      <w:marTop w:val="0"/>
      <w:marBottom w:val="0"/>
      <w:divBdr>
        <w:top w:val="none" w:sz="0" w:space="0" w:color="auto"/>
        <w:left w:val="none" w:sz="0" w:space="0" w:color="auto"/>
        <w:bottom w:val="none" w:sz="0" w:space="0" w:color="auto"/>
        <w:right w:val="none" w:sz="0" w:space="0" w:color="auto"/>
      </w:divBdr>
      <w:divsChild>
        <w:div w:id="70124266">
          <w:marLeft w:val="446"/>
          <w:marRight w:val="0"/>
          <w:marTop w:val="0"/>
          <w:marBottom w:val="240"/>
          <w:divBdr>
            <w:top w:val="none" w:sz="0" w:space="0" w:color="auto"/>
            <w:left w:val="none" w:sz="0" w:space="0" w:color="auto"/>
            <w:bottom w:val="none" w:sz="0" w:space="0" w:color="auto"/>
            <w:right w:val="none" w:sz="0" w:space="0" w:color="auto"/>
          </w:divBdr>
        </w:div>
        <w:div w:id="185214991">
          <w:marLeft w:val="446"/>
          <w:marRight w:val="0"/>
          <w:marTop w:val="0"/>
          <w:marBottom w:val="240"/>
          <w:divBdr>
            <w:top w:val="none" w:sz="0" w:space="0" w:color="auto"/>
            <w:left w:val="none" w:sz="0" w:space="0" w:color="auto"/>
            <w:bottom w:val="none" w:sz="0" w:space="0" w:color="auto"/>
            <w:right w:val="none" w:sz="0" w:space="0" w:color="auto"/>
          </w:divBdr>
        </w:div>
        <w:div w:id="334650342">
          <w:marLeft w:val="446"/>
          <w:marRight w:val="0"/>
          <w:marTop w:val="0"/>
          <w:marBottom w:val="240"/>
          <w:divBdr>
            <w:top w:val="none" w:sz="0" w:space="0" w:color="auto"/>
            <w:left w:val="none" w:sz="0" w:space="0" w:color="auto"/>
            <w:bottom w:val="none" w:sz="0" w:space="0" w:color="auto"/>
            <w:right w:val="none" w:sz="0" w:space="0" w:color="auto"/>
          </w:divBdr>
        </w:div>
        <w:div w:id="673344761">
          <w:marLeft w:val="446"/>
          <w:marRight w:val="0"/>
          <w:marTop w:val="0"/>
          <w:marBottom w:val="240"/>
          <w:divBdr>
            <w:top w:val="none" w:sz="0" w:space="0" w:color="auto"/>
            <w:left w:val="none" w:sz="0" w:space="0" w:color="auto"/>
            <w:bottom w:val="none" w:sz="0" w:space="0" w:color="auto"/>
            <w:right w:val="none" w:sz="0" w:space="0" w:color="auto"/>
          </w:divBdr>
        </w:div>
        <w:div w:id="1009603640">
          <w:marLeft w:val="446"/>
          <w:marRight w:val="0"/>
          <w:marTop w:val="0"/>
          <w:marBottom w:val="240"/>
          <w:divBdr>
            <w:top w:val="none" w:sz="0" w:space="0" w:color="auto"/>
            <w:left w:val="none" w:sz="0" w:space="0" w:color="auto"/>
            <w:bottom w:val="none" w:sz="0" w:space="0" w:color="auto"/>
            <w:right w:val="none" w:sz="0" w:space="0" w:color="auto"/>
          </w:divBdr>
        </w:div>
        <w:div w:id="1495801310">
          <w:marLeft w:val="1080"/>
          <w:marRight w:val="0"/>
          <w:marTop w:val="0"/>
          <w:marBottom w:val="240"/>
          <w:divBdr>
            <w:top w:val="none" w:sz="0" w:space="0" w:color="auto"/>
            <w:left w:val="none" w:sz="0" w:space="0" w:color="auto"/>
            <w:bottom w:val="none" w:sz="0" w:space="0" w:color="auto"/>
            <w:right w:val="none" w:sz="0" w:space="0" w:color="auto"/>
          </w:divBdr>
        </w:div>
        <w:div w:id="1663268970">
          <w:marLeft w:val="446"/>
          <w:marRight w:val="0"/>
          <w:marTop w:val="0"/>
          <w:marBottom w:val="240"/>
          <w:divBdr>
            <w:top w:val="none" w:sz="0" w:space="0" w:color="auto"/>
            <w:left w:val="none" w:sz="0" w:space="0" w:color="auto"/>
            <w:bottom w:val="none" w:sz="0" w:space="0" w:color="auto"/>
            <w:right w:val="none" w:sz="0" w:space="0" w:color="auto"/>
          </w:divBdr>
        </w:div>
        <w:div w:id="2070223154">
          <w:marLeft w:val="1080"/>
          <w:marRight w:val="0"/>
          <w:marTop w:val="0"/>
          <w:marBottom w:val="24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68420708">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1646888">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80303548">
      <w:bodyDiv w:val="1"/>
      <w:marLeft w:val="0"/>
      <w:marRight w:val="0"/>
      <w:marTop w:val="0"/>
      <w:marBottom w:val="0"/>
      <w:divBdr>
        <w:top w:val="none" w:sz="0" w:space="0" w:color="auto"/>
        <w:left w:val="none" w:sz="0" w:space="0" w:color="auto"/>
        <w:bottom w:val="none" w:sz="0" w:space="0" w:color="auto"/>
        <w:right w:val="none" w:sz="0" w:space="0" w:color="auto"/>
      </w:divBdr>
    </w:div>
    <w:div w:id="100212711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1388086">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5616233">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769017">
      <w:bodyDiv w:val="1"/>
      <w:marLeft w:val="0"/>
      <w:marRight w:val="0"/>
      <w:marTop w:val="0"/>
      <w:marBottom w:val="0"/>
      <w:divBdr>
        <w:top w:val="none" w:sz="0" w:space="0" w:color="auto"/>
        <w:left w:val="none" w:sz="0" w:space="0" w:color="auto"/>
        <w:bottom w:val="none" w:sz="0" w:space="0" w:color="auto"/>
        <w:right w:val="none" w:sz="0" w:space="0" w:color="auto"/>
      </w:divBdr>
    </w:div>
    <w:div w:id="1173496182">
      <w:bodyDiv w:val="1"/>
      <w:marLeft w:val="0"/>
      <w:marRight w:val="0"/>
      <w:marTop w:val="0"/>
      <w:marBottom w:val="0"/>
      <w:divBdr>
        <w:top w:val="none" w:sz="0" w:space="0" w:color="auto"/>
        <w:left w:val="none" w:sz="0" w:space="0" w:color="auto"/>
        <w:bottom w:val="none" w:sz="0" w:space="0" w:color="auto"/>
        <w:right w:val="none" w:sz="0" w:space="0" w:color="auto"/>
      </w:divBdr>
    </w:div>
    <w:div w:id="1189832369">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35973818">
      <w:bodyDiv w:val="1"/>
      <w:marLeft w:val="0"/>
      <w:marRight w:val="0"/>
      <w:marTop w:val="0"/>
      <w:marBottom w:val="0"/>
      <w:divBdr>
        <w:top w:val="none" w:sz="0" w:space="0" w:color="auto"/>
        <w:left w:val="none" w:sz="0" w:space="0" w:color="auto"/>
        <w:bottom w:val="none" w:sz="0" w:space="0" w:color="auto"/>
        <w:right w:val="none" w:sz="0" w:space="0" w:color="auto"/>
      </w:divBdr>
      <w:divsChild>
        <w:div w:id="174855249">
          <w:marLeft w:val="1080"/>
          <w:marRight w:val="0"/>
          <w:marTop w:val="0"/>
          <w:marBottom w:val="240"/>
          <w:divBdr>
            <w:top w:val="none" w:sz="0" w:space="0" w:color="auto"/>
            <w:left w:val="none" w:sz="0" w:space="0" w:color="auto"/>
            <w:bottom w:val="none" w:sz="0" w:space="0" w:color="auto"/>
            <w:right w:val="none" w:sz="0" w:space="0" w:color="auto"/>
          </w:divBdr>
        </w:div>
        <w:div w:id="583146003">
          <w:marLeft w:val="446"/>
          <w:marRight w:val="0"/>
          <w:marTop w:val="0"/>
          <w:marBottom w:val="240"/>
          <w:divBdr>
            <w:top w:val="none" w:sz="0" w:space="0" w:color="auto"/>
            <w:left w:val="none" w:sz="0" w:space="0" w:color="auto"/>
            <w:bottom w:val="none" w:sz="0" w:space="0" w:color="auto"/>
            <w:right w:val="none" w:sz="0" w:space="0" w:color="auto"/>
          </w:divBdr>
        </w:div>
        <w:div w:id="947927776">
          <w:marLeft w:val="446"/>
          <w:marRight w:val="0"/>
          <w:marTop w:val="0"/>
          <w:marBottom w:val="240"/>
          <w:divBdr>
            <w:top w:val="none" w:sz="0" w:space="0" w:color="auto"/>
            <w:left w:val="none" w:sz="0" w:space="0" w:color="auto"/>
            <w:bottom w:val="none" w:sz="0" w:space="0" w:color="auto"/>
            <w:right w:val="none" w:sz="0" w:space="0" w:color="auto"/>
          </w:divBdr>
        </w:div>
        <w:div w:id="1171680159">
          <w:marLeft w:val="446"/>
          <w:marRight w:val="0"/>
          <w:marTop w:val="0"/>
          <w:marBottom w:val="240"/>
          <w:divBdr>
            <w:top w:val="none" w:sz="0" w:space="0" w:color="auto"/>
            <w:left w:val="none" w:sz="0" w:space="0" w:color="auto"/>
            <w:bottom w:val="none" w:sz="0" w:space="0" w:color="auto"/>
            <w:right w:val="none" w:sz="0" w:space="0" w:color="auto"/>
          </w:divBdr>
        </w:div>
        <w:div w:id="1466049205">
          <w:marLeft w:val="446"/>
          <w:marRight w:val="0"/>
          <w:marTop w:val="0"/>
          <w:marBottom w:val="240"/>
          <w:divBdr>
            <w:top w:val="none" w:sz="0" w:space="0" w:color="auto"/>
            <w:left w:val="none" w:sz="0" w:space="0" w:color="auto"/>
            <w:bottom w:val="none" w:sz="0" w:space="0" w:color="auto"/>
            <w:right w:val="none" w:sz="0" w:space="0" w:color="auto"/>
          </w:divBdr>
        </w:div>
        <w:div w:id="1528785754">
          <w:marLeft w:val="446"/>
          <w:marRight w:val="0"/>
          <w:marTop w:val="0"/>
          <w:marBottom w:val="240"/>
          <w:divBdr>
            <w:top w:val="none" w:sz="0" w:space="0" w:color="auto"/>
            <w:left w:val="none" w:sz="0" w:space="0" w:color="auto"/>
            <w:bottom w:val="none" w:sz="0" w:space="0" w:color="auto"/>
            <w:right w:val="none" w:sz="0" w:space="0" w:color="auto"/>
          </w:divBdr>
        </w:div>
        <w:div w:id="1802916928">
          <w:marLeft w:val="446"/>
          <w:marRight w:val="0"/>
          <w:marTop w:val="0"/>
          <w:marBottom w:val="240"/>
          <w:divBdr>
            <w:top w:val="none" w:sz="0" w:space="0" w:color="auto"/>
            <w:left w:val="none" w:sz="0" w:space="0" w:color="auto"/>
            <w:bottom w:val="none" w:sz="0" w:space="0" w:color="auto"/>
            <w:right w:val="none" w:sz="0" w:space="0" w:color="auto"/>
          </w:divBdr>
        </w:div>
        <w:div w:id="2077195692">
          <w:marLeft w:val="1080"/>
          <w:marRight w:val="0"/>
          <w:marTop w:val="0"/>
          <w:marBottom w:val="240"/>
          <w:divBdr>
            <w:top w:val="none" w:sz="0" w:space="0" w:color="auto"/>
            <w:left w:val="none" w:sz="0" w:space="0" w:color="auto"/>
            <w:bottom w:val="none" w:sz="0" w:space="0" w:color="auto"/>
            <w:right w:val="none" w:sz="0" w:space="0" w:color="auto"/>
          </w:divBdr>
        </w:div>
      </w:divsChild>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18222810">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4010085">
      <w:bodyDiv w:val="1"/>
      <w:marLeft w:val="0"/>
      <w:marRight w:val="0"/>
      <w:marTop w:val="0"/>
      <w:marBottom w:val="0"/>
      <w:divBdr>
        <w:top w:val="none" w:sz="0" w:space="0" w:color="auto"/>
        <w:left w:val="none" w:sz="0" w:space="0" w:color="auto"/>
        <w:bottom w:val="none" w:sz="0" w:space="0" w:color="auto"/>
        <w:right w:val="none" w:sz="0" w:space="0" w:color="auto"/>
      </w:divBdr>
      <w:divsChild>
        <w:div w:id="1214466229">
          <w:marLeft w:val="547"/>
          <w:marRight w:val="0"/>
          <w:marTop w:val="0"/>
          <w:marBottom w:val="0"/>
          <w:divBdr>
            <w:top w:val="none" w:sz="0" w:space="0" w:color="auto"/>
            <w:left w:val="none" w:sz="0" w:space="0" w:color="auto"/>
            <w:bottom w:val="none" w:sz="0" w:space="0" w:color="auto"/>
            <w:right w:val="none" w:sz="0" w:space="0" w:color="auto"/>
          </w:divBdr>
        </w:div>
      </w:divsChild>
    </w:div>
    <w:div w:id="1460147167">
      <w:bodyDiv w:val="1"/>
      <w:marLeft w:val="0"/>
      <w:marRight w:val="0"/>
      <w:marTop w:val="0"/>
      <w:marBottom w:val="0"/>
      <w:divBdr>
        <w:top w:val="none" w:sz="0" w:space="0" w:color="auto"/>
        <w:left w:val="none" w:sz="0" w:space="0" w:color="auto"/>
        <w:bottom w:val="none" w:sz="0" w:space="0" w:color="auto"/>
        <w:right w:val="none" w:sz="0" w:space="0" w:color="auto"/>
      </w:divBdr>
      <w:divsChild>
        <w:div w:id="23986441">
          <w:marLeft w:val="547"/>
          <w:marRight w:val="0"/>
          <w:marTop w:val="0"/>
          <w:marBottom w:val="0"/>
          <w:divBdr>
            <w:top w:val="none" w:sz="0" w:space="0" w:color="auto"/>
            <w:left w:val="none" w:sz="0" w:space="0" w:color="auto"/>
            <w:bottom w:val="none" w:sz="0" w:space="0" w:color="auto"/>
            <w:right w:val="none" w:sz="0" w:space="0" w:color="auto"/>
          </w:divBdr>
        </w:div>
        <w:div w:id="112987429">
          <w:marLeft w:val="547"/>
          <w:marRight w:val="0"/>
          <w:marTop w:val="0"/>
          <w:marBottom w:val="0"/>
          <w:divBdr>
            <w:top w:val="none" w:sz="0" w:space="0" w:color="auto"/>
            <w:left w:val="none" w:sz="0" w:space="0" w:color="auto"/>
            <w:bottom w:val="none" w:sz="0" w:space="0" w:color="auto"/>
            <w:right w:val="none" w:sz="0" w:space="0" w:color="auto"/>
          </w:divBdr>
        </w:div>
        <w:div w:id="169754458">
          <w:marLeft w:val="547"/>
          <w:marRight w:val="0"/>
          <w:marTop w:val="0"/>
          <w:marBottom w:val="0"/>
          <w:divBdr>
            <w:top w:val="none" w:sz="0" w:space="0" w:color="auto"/>
            <w:left w:val="none" w:sz="0" w:space="0" w:color="auto"/>
            <w:bottom w:val="none" w:sz="0" w:space="0" w:color="auto"/>
            <w:right w:val="none" w:sz="0" w:space="0" w:color="auto"/>
          </w:divBdr>
        </w:div>
        <w:div w:id="179971771">
          <w:marLeft w:val="547"/>
          <w:marRight w:val="0"/>
          <w:marTop w:val="0"/>
          <w:marBottom w:val="0"/>
          <w:divBdr>
            <w:top w:val="none" w:sz="0" w:space="0" w:color="auto"/>
            <w:left w:val="none" w:sz="0" w:space="0" w:color="auto"/>
            <w:bottom w:val="none" w:sz="0" w:space="0" w:color="auto"/>
            <w:right w:val="none" w:sz="0" w:space="0" w:color="auto"/>
          </w:divBdr>
        </w:div>
        <w:div w:id="317804382">
          <w:marLeft w:val="547"/>
          <w:marRight w:val="0"/>
          <w:marTop w:val="0"/>
          <w:marBottom w:val="0"/>
          <w:divBdr>
            <w:top w:val="none" w:sz="0" w:space="0" w:color="auto"/>
            <w:left w:val="none" w:sz="0" w:space="0" w:color="auto"/>
            <w:bottom w:val="none" w:sz="0" w:space="0" w:color="auto"/>
            <w:right w:val="none" w:sz="0" w:space="0" w:color="auto"/>
          </w:divBdr>
        </w:div>
        <w:div w:id="587426437">
          <w:marLeft w:val="547"/>
          <w:marRight w:val="0"/>
          <w:marTop w:val="0"/>
          <w:marBottom w:val="0"/>
          <w:divBdr>
            <w:top w:val="none" w:sz="0" w:space="0" w:color="auto"/>
            <w:left w:val="none" w:sz="0" w:space="0" w:color="auto"/>
            <w:bottom w:val="none" w:sz="0" w:space="0" w:color="auto"/>
            <w:right w:val="none" w:sz="0" w:space="0" w:color="auto"/>
          </w:divBdr>
        </w:div>
        <w:div w:id="880171292">
          <w:marLeft w:val="547"/>
          <w:marRight w:val="0"/>
          <w:marTop w:val="0"/>
          <w:marBottom w:val="0"/>
          <w:divBdr>
            <w:top w:val="none" w:sz="0" w:space="0" w:color="auto"/>
            <w:left w:val="none" w:sz="0" w:space="0" w:color="auto"/>
            <w:bottom w:val="none" w:sz="0" w:space="0" w:color="auto"/>
            <w:right w:val="none" w:sz="0" w:space="0" w:color="auto"/>
          </w:divBdr>
        </w:div>
        <w:div w:id="1124352694">
          <w:marLeft w:val="547"/>
          <w:marRight w:val="0"/>
          <w:marTop w:val="0"/>
          <w:marBottom w:val="0"/>
          <w:divBdr>
            <w:top w:val="none" w:sz="0" w:space="0" w:color="auto"/>
            <w:left w:val="none" w:sz="0" w:space="0" w:color="auto"/>
            <w:bottom w:val="none" w:sz="0" w:space="0" w:color="auto"/>
            <w:right w:val="none" w:sz="0" w:space="0" w:color="auto"/>
          </w:divBdr>
        </w:div>
        <w:div w:id="1760247832">
          <w:marLeft w:val="547"/>
          <w:marRight w:val="0"/>
          <w:marTop w:val="0"/>
          <w:marBottom w:val="0"/>
          <w:divBdr>
            <w:top w:val="none" w:sz="0" w:space="0" w:color="auto"/>
            <w:left w:val="none" w:sz="0" w:space="0" w:color="auto"/>
            <w:bottom w:val="none" w:sz="0" w:space="0" w:color="auto"/>
            <w:right w:val="none" w:sz="0" w:space="0" w:color="auto"/>
          </w:divBdr>
        </w:div>
        <w:div w:id="1796826551">
          <w:marLeft w:val="547"/>
          <w:marRight w:val="0"/>
          <w:marTop w:val="0"/>
          <w:marBottom w:val="0"/>
          <w:divBdr>
            <w:top w:val="none" w:sz="0" w:space="0" w:color="auto"/>
            <w:left w:val="none" w:sz="0" w:space="0" w:color="auto"/>
            <w:bottom w:val="none" w:sz="0" w:space="0" w:color="auto"/>
            <w:right w:val="none" w:sz="0" w:space="0" w:color="auto"/>
          </w:divBdr>
        </w:div>
        <w:div w:id="1968047063">
          <w:marLeft w:val="547"/>
          <w:marRight w:val="0"/>
          <w:marTop w:val="0"/>
          <w:marBottom w:val="0"/>
          <w:divBdr>
            <w:top w:val="none" w:sz="0" w:space="0" w:color="auto"/>
            <w:left w:val="none" w:sz="0" w:space="0" w:color="auto"/>
            <w:bottom w:val="none" w:sz="0" w:space="0" w:color="auto"/>
            <w:right w:val="none" w:sz="0" w:space="0" w:color="auto"/>
          </w:divBdr>
        </w:div>
        <w:div w:id="2128696373">
          <w:marLeft w:val="547"/>
          <w:marRight w:val="0"/>
          <w:marTop w:val="0"/>
          <w:marBottom w:val="0"/>
          <w:divBdr>
            <w:top w:val="none" w:sz="0" w:space="0" w:color="auto"/>
            <w:left w:val="none" w:sz="0" w:space="0" w:color="auto"/>
            <w:bottom w:val="none" w:sz="0" w:space="0" w:color="auto"/>
            <w:right w:val="none" w:sz="0" w:space="0" w:color="auto"/>
          </w:divBdr>
        </w:div>
      </w:divsChild>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7723529">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6968131">
      <w:bodyDiv w:val="1"/>
      <w:marLeft w:val="0"/>
      <w:marRight w:val="0"/>
      <w:marTop w:val="0"/>
      <w:marBottom w:val="0"/>
      <w:divBdr>
        <w:top w:val="none" w:sz="0" w:space="0" w:color="auto"/>
        <w:left w:val="none" w:sz="0" w:space="0" w:color="auto"/>
        <w:bottom w:val="none" w:sz="0" w:space="0" w:color="auto"/>
        <w:right w:val="none" w:sz="0" w:space="0" w:color="auto"/>
      </w:divBdr>
    </w:div>
    <w:div w:id="1490172269">
      <w:bodyDiv w:val="1"/>
      <w:marLeft w:val="0"/>
      <w:marRight w:val="0"/>
      <w:marTop w:val="0"/>
      <w:marBottom w:val="0"/>
      <w:divBdr>
        <w:top w:val="none" w:sz="0" w:space="0" w:color="auto"/>
        <w:left w:val="none" w:sz="0" w:space="0" w:color="auto"/>
        <w:bottom w:val="none" w:sz="0" w:space="0" w:color="auto"/>
        <w:right w:val="none" w:sz="0" w:space="0" w:color="auto"/>
      </w:divBdr>
    </w:div>
    <w:div w:id="1518078665">
      <w:bodyDiv w:val="1"/>
      <w:marLeft w:val="0"/>
      <w:marRight w:val="0"/>
      <w:marTop w:val="0"/>
      <w:marBottom w:val="0"/>
      <w:divBdr>
        <w:top w:val="none" w:sz="0" w:space="0" w:color="auto"/>
        <w:left w:val="none" w:sz="0" w:space="0" w:color="auto"/>
        <w:bottom w:val="none" w:sz="0" w:space="0" w:color="auto"/>
        <w:right w:val="none" w:sz="0" w:space="0" w:color="auto"/>
      </w:divBdr>
      <w:divsChild>
        <w:div w:id="73861620">
          <w:marLeft w:val="446"/>
          <w:marRight w:val="0"/>
          <w:marTop w:val="0"/>
          <w:marBottom w:val="240"/>
          <w:divBdr>
            <w:top w:val="none" w:sz="0" w:space="0" w:color="auto"/>
            <w:left w:val="none" w:sz="0" w:space="0" w:color="auto"/>
            <w:bottom w:val="none" w:sz="0" w:space="0" w:color="auto"/>
            <w:right w:val="none" w:sz="0" w:space="0" w:color="auto"/>
          </w:divBdr>
        </w:div>
        <w:div w:id="1977100422">
          <w:marLeft w:val="446"/>
          <w:marRight w:val="0"/>
          <w:marTop w:val="0"/>
          <w:marBottom w:val="240"/>
          <w:divBdr>
            <w:top w:val="none" w:sz="0" w:space="0" w:color="auto"/>
            <w:left w:val="none" w:sz="0" w:space="0" w:color="auto"/>
            <w:bottom w:val="none" w:sz="0" w:space="0" w:color="auto"/>
            <w:right w:val="none" w:sz="0" w:space="0" w:color="auto"/>
          </w:divBdr>
        </w:div>
      </w:divsChild>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12400">
      <w:bodyDiv w:val="1"/>
      <w:marLeft w:val="0"/>
      <w:marRight w:val="0"/>
      <w:marTop w:val="0"/>
      <w:marBottom w:val="0"/>
      <w:divBdr>
        <w:top w:val="none" w:sz="0" w:space="0" w:color="auto"/>
        <w:left w:val="none" w:sz="0" w:space="0" w:color="auto"/>
        <w:bottom w:val="none" w:sz="0" w:space="0" w:color="auto"/>
        <w:right w:val="none" w:sz="0" w:space="0" w:color="auto"/>
      </w:divBdr>
    </w:div>
    <w:div w:id="1555700697">
      <w:bodyDiv w:val="1"/>
      <w:marLeft w:val="0"/>
      <w:marRight w:val="0"/>
      <w:marTop w:val="0"/>
      <w:marBottom w:val="0"/>
      <w:divBdr>
        <w:top w:val="none" w:sz="0" w:space="0" w:color="auto"/>
        <w:left w:val="none" w:sz="0" w:space="0" w:color="auto"/>
        <w:bottom w:val="none" w:sz="0" w:space="0" w:color="auto"/>
        <w:right w:val="none" w:sz="0" w:space="0" w:color="auto"/>
      </w:divBdr>
    </w:div>
    <w:div w:id="1586576949">
      <w:bodyDiv w:val="1"/>
      <w:marLeft w:val="0"/>
      <w:marRight w:val="0"/>
      <w:marTop w:val="0"/>
      <w:marBottom w:val="0"/>
      <w:divBdr>
        <w:top w:val="none" w:sz="0" w:space="0" w:color="auto"/>
        <w:left w:val="none" w:sz="0" w:space="0" w:color="auto"/>
        <w:bottom w:val="none" w:sz="0" w:space="0" w:color="auto"/>
        <w:right w:val="none" w:sz="0" w:space="0" w:color="auto"/>
      </w:divBdr>
    </w:div>
    <w:div w:id="1609384956">
      <w:bodyDiv w:val="1"/>
      <w:marLeft w:val="0"/>
      <w:marRight w:val="0"/>
      <w:marTop w:val="0"/>
      <w:marBottom w:val="0"/>
      <w:divBdr>
        <w:top w:val="none" w:sz="0" w:space="0" w:color="auto"/>
        <w:left w:val="none" w:sz="0" w:space="0" w:color="auto"/>
        <w:bottom w:val="none" w:sz="0" w:space="0" w:color="auto"/>
        <w:right w:val="none" w:sz="0" w:space="0" w:color="auto"/>
      </w:divBdr>
      <w:divsChild>
        <w:div w:id="1298753689">
          <w:marLeft w:val="547"/>
          <w:marRight w:val="0"/>
          <w:marTop w:val="0"/>
          <w:marBottom w:val="0"/>
          <w:divBdr>
            <w:top w:val="none" w:sz="0" w:space="0" w:color="auto"/>
            <w:left w:val="none" w:sz="0" w:space="0" w:color="auto"/>
            <w:bottom w:val="none" w:sz="0" w:space="0" w:color="auto"/>
            <w:right w:val="none" w:sz="0" w:space="0" w:color="auto"/>
          </w:divBdr>
        </w:div>
      </w:divsChild>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485720">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305699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155693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20683640">
      <w:bodyDiv w:val="1"/>
      <w:marLeft w:val="0"/>
      <w:marRight w:val="0"/>
      <w:marTop w:val="0"/>
      <w:marBottom w:val="0"/>
      <w:divBdr>
        <w:top w:val="none" w:sz="0" w:space="0" w:color="auto"/>
        <w:left w:val="none" w:sz="0" w:space="0" w:color="auto"/>
        <w:bottom w:val="none" w:sz="0" w:space="0" w:color="auto"/>
        <w:right w:val="none" w:sz="0" w:space="0" w:color="auto"/>
      </w:divBdr>
    </w:div>
    <w:div w:id="1841194460">
      <w:bodyDiv w:val="1"/>
      <w:marLeft w:val="0"/>
      <w:marRight w:val="0"/>
      <w:marTop w:val="0"/>
      <w:marBottom w:val="0"/>
      <w:divBdr>
        <w:top w:val="none" w:sz="0" w:space="0" w:color="auto"/>
        <w:left w:val="none" w:sz="0" w:space="0" w:color="auto"/>
        <w:bottom w:val="none" w:sz="0" w:space="0" w:color="auto"/>
        <w:right w:val="none" w:sz="0" w:space="0" w:color="auto"/>
      </w:divBdr>
      <w:divsChild>
        <w:div w:id="2063093108">
          <w:marLeft w:val="547"/>
          <w:marRight w:val="0"/>
          <w:marTop w:val="0"/>
          <w:marBottom w:val="0"/>
          <w:divBdr>
            <w:top w:val="none" w:sz="0" w:space="0" w:color="auto"/>
            <w:left w:val="none" w:sz="0" w:space="0" w:color="auto"/>
            <w:bottom w:val="none" w:sz="0" w:space="0" w:color="auto"/>
            <w:right w:val="none" w:sz="0" w:space="0" w:color="auto"/>
          </w:divBdr>
        </w:div>
      </w:divsChild>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71669461">
      <w:bodyDiv w:val="1"/>
      <w:marLeft w:val="0"/>
      <w:marRight w:val="0"/>
      <w:marTop w:val="0"/>
      <w:marBottom w:val="0"/>
      <w:divBdr>
        <w:top w:val="none" w:sz="0" w:space="0" w:color="auto"/>
        <w:left w:val="none" w:sz="0" w:space="0" w:color="auto"/>
        <w:bottom w:val="none" w:sz="0" w:space="0" w:color="auto"/>
        <w:right w:val="none" w:sz="0" w:space="0" w:color="auto"/>
      </w:divBdr>
    </w:div>
    <w:div w:id="1998532368">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08942464">
      <w:bodyDiv w:val="1"/>
      <w:marLeft w:val="0"/>
      <w:marRight w:val="0"/>
      <w:marTop w:val="0"/>
      <w:marBottom w:val="0"/>
      <w:divBdr>
        <w:top w:val="none" w:sz="0" w:space="0" w:color="auto"/>
        <w:left w:val="none" w:sz="0" w:space="0" w:color="auto"/>
        <w:bottom w:val="none" w:sz="0" w:space="0" w:color="auto"/>
        <w:right w:val="none" w:sz="0" w:space="0" w:color="auto"/>
      </w:divBdr>
      <w:divsChild>
        <w:div w:id="222765031">
          <w:marLeft w:val="446"/>
          <w:marRight w:val="0"/>
          <w:marTop w:val="0"/>
          <w:marBottom w:val="240"/>
          <w:divBdr>
            <w:top w:val="none" w:sz="0" w:space="0" w:color="auto"/>
            <w:left w:val="none" w:sz="0" w:space="0" w:color="auto"/>
            <w:bottom w:val="none" w:sz="0" w:space="0" w:color="auto"/>
            <w:right w:val="none" w:sz="0" w:space="0" w:color="auto"/>
          </w:divBdr>
        </w:div>
        <w:div w:id="371535026">
          <w:marLeft w:val="446"/>
          <w:marRight w:val="0"/>
          <w:marTop w:val="0"/>
          <w:marBottom w:val="240"/>
          <w:divBdr>
            <w:top w:val="none" w:sz="0" w:space="0" w:color="auto"/>
            <w:left w:val="none" w:sz="0" w:space="0" w:color="auto"/>
            <w:bottom w:val="none" w:sz="0" w:space="0" w:color="auto"/>
            <w:right w:val="none" w:sz="0" w:space="0" w:color="auto"/>
          </w:divBdr>
        </w:div>
        <w:div w:id="441000269">
          <w:marLeft w:val="446"/>
          <w:marRight w:val="0"/>
          <w:marTop w:val="0"/>
          <w:marBottom w:val="240"/>
          <w:divBdr>
            <w:top w:val="none" w:sz="0" w:space="0" w:color="auto"/>
            <w:left w:val="none" w:sz="0" w:space="0" w:color="auto"/>
            <w:bottom w:val="none" w:sz="0" w:space="0" w:color="auto"/>
            <w:right w:val="none" w:sz="0" w:space="0" w:color="auto"/>
          </w:divBdr>
        </w:div>
        <w:div w:id="481313810">
          <w:marLeft w:val="446"/>
          <w:marRight w:val="0"/>
          <w:marTop w:val="0"/>
          <w:marBottom w:val="240"/>
          <w:divBdr>
            <w:top w:val="none" w:sz="0" w:space="0" w:color="auto"/>
            <w:left w:val="none" w:sz="0" w:space="0" w:color="auto"/>
            <w:bottom w:val="none" w:sz="0" w:space="0" w:color="auto"/>
            <w:right w:val="none" w:sz="0" w:space="0" w:color="auto"/>
          </w:divBdr>
        </w:div>
        <w:div w:id="520120468">
          <w:marLeft w:val="446"/>
          <w:marRight w:val="0"/>
          <w:marTop w:val="0"/>
          <w:marBottom w:val="240"/>
          <w:divBdr>
            <w:top w:val="none" w:sz="0" w:space="0" w:color="auto"/>
            <w:left w:val="none" w:sz="0" w:space="0" w:color="auto"/>
            <w:bottom w:val="none" w:sz="0" w:space="0" w:color="auto"/>
            <w:right w:val="none" w:sz="0" w:space="0" w:color="auto"/>
          </w:divBdr>
        </w:div>
        <w:div w:id="673922963">
          <w:marLeft w:val="446"/>
          <w:marRight w:val="0"/>
          <w:marTop w:val="0"/>
          <w:marBottom w:val="240"/>
          <w:divBdr>
            <w:top w:val="none" w:sz="0" w:space="0" w:color="auto"/>
            <w:left w:val="none" w:sz="0" w:space="0" w:color="auto"/>
            <w:bottom w:val="none" w:sz="0" w:space="0" w:color="auto"/>
            <w:right w:val="none" w:sz="0" w:space="0" w:color="auto"/>
          </w:divBdr>
        </w:div>
        <w:div w:id="933124763">
          <w:marLeft w:val="446"/>
          <w:marRight w:val="0"/>
          <w:marTop w:val="0"/>
          <w:marBottom w:val="240"/>
          <w:divBdr>
            <w:top w:val="none" w:sz="0" w:space="0" w:color="auto"/>
            <w:left w:val="none" w:sz="0" w:space="0" w:color="auto"/>
            <w:bottom w:val="none" w:sz="0" w:space="0" w:color="auto"/>
            <w:right w:val="none" w:sz="0" w:space="0" w:color="auto"/>
          </w:divBdr>
        </w:div>
        <w:div w:id="1030957201">
          <w:marLeft w:val="446"/>
          <w:marRight w:val="0"/>
          <w:marTop w:val="0"/>
          <w:marBottom w:val="240"/>
          <w:divBdr>
            <w:top w:val="none" w:sz="0" w:space="0" w:color="auto"/>
            <w:left w:val="none" w:sz="0" w:space="0" w:color="auto"/>
            <w:bottom w:val="none" w:sz="0" w:space="0" w:color="auto"/>
            <w:right w:val="none" w:sz="0" w:space="0" w:color="auto"/>
          </w:divBdr>
        </w:div>
        <w:div w:id="1153839770">
          <w:marLeft w:val="446"/>
          <w:marRight w:val="0"/>
          <w:marTop w:val="0"/>
          <w:marBottom w:val="240"/>
          <w:divBdr>
            <w:top w:val="none" w:sz="0" w:space="0" w:color="auto"/>
            <w:left w:val="none" w:sz="0" w:space="0" w:color="auto"/>
            <w:bottom w:val="none" w:sz="0" w:space="0" w:color="auto"/>
            <w:right w:val="none" w:sz="0" w:space="0" w:color="auto"/>
          </w:divBdr>
        </w:div>
        <w:div w:id="1674532747">
          <w:marLeft w:val="446"/>
          <w:marRight w:val="0"/>
          <w:marTop w:val="0"/>
          <w:marBottom w:val="240"/>
          <w:divBdr>
            <w:top w:val="none" w:sz="0" w:space="0" w:color="auto"/>
            <w:left w:val="none" w:sz="0" w:space="0" w:color="auto"/>
            <w:bottom w:val="none" w:sz="0" w:space="0" w:color="auto"/>
            <w:right w:val="none" w:sz="0" w:space="0" w:color="auto"/>
          </w:divBdr>
        </w:div>
        <w:div w:id="2053187648">
          <w:marLeft w:val="446"/>
          <w:marRight w:val="0"/>
          <w:marTop w:val="0"/>
          <w:marBottom w:val="240"/>
          <w:divBdr>
            <w:top w:val="none" w:sz="0" w:space="0" w:color="auto"/>
            <w:left w:val="none" w:sz="0" w:space="0" w:color="auto"/>
            <w:bottom w:val="none" w:sz="0" w:space="0" w:color="auto"/>
            <w:right w:val="none" w:sz="0" w:space="0" w:color="auto"/>
          </w:divBdr>
        </w:div>
        <w:div w:id="2129660782">
          <w:marLeft w:val="446"/>
          <w:marRight w:val="0"/>
          <w:marTop w:val="0"/>
          <w:marBottom w:val="240"/>
          <w:divBdr>
            <w:top w:val="none" w:sz="0" w:space="0" w:color="auto"/>
            <w:left w:val="none" w:sz="0" w:space="0" w:color="auto"/>
            <w:bottom w:val="none" w:sz="0" w:space="0" w:color="auto"/>
            <w:right w:val="none" w:sz="0" w:space="0" w:color="auto"/>
          </w:divBdr>
        </w:div>
      </w:divsChild>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70880339">
      <w:bodyDiv w:val="1"/>
      <w:marLeft w:val="0"/>
      <w:marRight w:val="0"/>
      <w:marTop w:val="0"/>
      <w:marBottom w:val="0"/>
      <w:divBdr>
        <w:top w:val="none" w:sz="0" w:space="0" w:color="auto"/>
        <w:left w:val="none" w:sz="0" w:space="0" w:color="auto"/>
        <w:bottom w:val="none" w:sz="0" w:space="0" w:color="auto"/>
        <w:right w:val="none" w:sz="0" w:space="0" w:color="auto"/>
      </w:divBdr>
    </w:div>
    <w:div w:id="2090033308">
      <w:bodyDiv w:val="1"/>
      <w:marLeft w:val="0"/>
      <w:marRight w:val="0"/>
      <w:marTop w:val="0"/>
      <w:marBottom w:val="0"/>
      <w:divBdr>
        <w:top w:val="none" w:sz="0" w:space="0" w:color="auto"/>
        <w:left w:val="none" w:sz="0" w:space="0" w:color="auto"/>
        <w:bottom w:val="none" w:sz="0" w:space="0" w:color="auto"/>
        <w:right w:val="none" w:sz="0" w:space="0" w:color="auto"/>
      </w:divBdr>
      <w:divsChild>
        <w:div w:id="88963661">
          <w:marLeft w:val="446"/>
          <w:marRight w:val="0"/>
          <w:marTop w:val="0"/>
          <w:marBottom w:val="240"/>
          <w:divBdr>
            <w:top w:val="none" w:sz="0" w:space="0" w:color="auto"/>
            <w:left w:val="none" w:sz="0" w:space="0" w:color="auto"/>
            <w:bottom w:val="none" w:sz="0" w:space="0" w:color="auto"/>
            <w:right w:val="none" w:sz="0" w:space="0" w:color="auto"/>
          </w:divBdr>
        </w:div>
        <w:div w:id="137920449">
          <w:marLeft w:val="446"/>
          <w:marRight w:val="0"/>
          <w:marTop w:val="0"/>
          <w:marBottom w:val="240"/>
          <w:divBdr>
            <w:top w:val="none" w:sz="0" w:space="0" w:color="auto"/>
            <w:left w:val="none" w:sz="0" w:space="0" w:color="auto"/>
            <w:bottom w:val="none" w:sz="0" w:space="0" w:color="auto"/>
            <w:right w:val="none" w:sz="0" w:space="0" w:color="auto"/>
          </w:divBdr>
        </w:div>
        <w:div w:id="390738644">
          <w:marLeft w:val="446"/>
          <w:marRight w:val="0"/>
          <w:marTop w:val="0"/>
          <w:marBottom w:val="240"/>
          <w:divBdr>
            <w:top w:val="none" w:sz="0" w:space="0" w:color="auto"/>
            <w:left w:val="none" w:sz="0" w:space="0" w:color="auto"/>
            <w:bottom w:val="none" w:sz="0" w:space="0" w:color="auto"/>
            <w:right w:val="none" w:sz="0" w:space="0" w:color="auto"/>
          </w:divBdr>
        </w:div>
        <w:div w:id="743071337">
          <w:marLeft w:val="446"/>
          <w:marRight w:val="0"/>
          <w:marTop w:val="0"/>
          <w:marBottom w:val="240"/>
          <w:divBdr>
            <w:top w:val="none" w:sz="0" w:space="0" w:color="auto"/>
            <w:left w:val="none" w:sz="0" w:space="0" w:color="auto"/>
            <w:bottom w:val="none" w:sz="0" w:space="0" w:color="auto"/>
            <w:right w:val="none" w:sz="0" w:space="0" w:color="auto"/>
          </w:divBdr>
        </w:div>
        <w:div w:id="956526119">
          <w:marLeft w:val="446"/>
          <w:marRight w:val="0"/>
          <w:marTop w:val="0"/>
          <w:marBottom w:val="240"/>
          <w:divBdr>
            <w:top w:val="none" w:sz="0" w:space="0" w:color="auto"/>
            <w:left w:val="none" w:sz="0" w:space="0" w:color="auto"/>
            <w:bottom w:val="none" w:sz="0" w:space="0" w:color="auto"/>
            <w:right w:val="none" w:sz="0" w:space="0" w:color="auto"/>
          </w:divBdr>
        </w:div>
        <w:div w:id="1036468556">
          <w:marLeft w:val="446"/>
          <w:marRight w:val="0"/>
          <w:marTop w:val="0"/>
          <w:marBottom w:val="240"/>
          <w:divBdr>
            <w:top w:val="none" w:sz="0" w:space="0" w:color="auto"/>
            <w:left w:val="none" w:sz="0" w:space="0" w:color="auto"/>
            <w:bottom w:val="none" w:sz="0" w:space="0" w:color="auto"/>
            <w:right w:val="none" w:sz="0" w:space="0" w:color="auto"/>
          </w:divBdr>
        </w:div>
        <w:div w:id="1358655577">
          <w:marLeft w:val="446"/>
          <w:marRight w:val="0"/>
          <w:marTop w:val="0"/>
          <w:marBottom w:val="240"/>
          <w:divBdr>
            <w:top w:val="none" w:sz="0" w:space="0" w:color="auto"/>
            <w:left w:val="none" w:sz="0" w:space="0" w:color="auto"/>
            <w:bottom w:val="none" w:sz="0" w:space="0" w:color="auto"/>
            <w:right w:val="none" w:sz="0" w:space="0" w:color="auto"/>
          </w:divBdr>
        </w:div>
        <w:div w:id="1570729075">
          <w:marLeft w:val="446"/>
          <w:marRight w:val="0"/>
          <w:marTop w:val="0"/>
          <w:marBottom w:val="240"/>
          <w:divBdr>
            <w:top w:val="none" w:sz="0" w:space="0" w:color="auto"/>
            <w:left w:val="none" w:sz="0" w:space="0" w:color="auto"/>
            <w:bottom w:val="none" w:sz="0" w:space="0" w:color="auto"/>
            <w:right w:val="none" w:sz="0" w:space="0" w:color="auto"/>
          </w:divBdr>
        </w:div>
        <w:div w:id="1652949259">
          <w:marLeft w:val="446"/>
          <w:marRight w:val="0"/>
          <w:marTop w:val="0"/>
          <w:marBottom w:val="240"/>
          <w:divBdr>
            <w:top w:val="none" w:sz="0" w:space="0" w:color="auto"/>
            <w:left w:val="none" w:sz="0" w:space="0" w:color="auto"/>
            <w:bottom w:val="none" w:sz="0" w:space="0" w:color="auto"/>
            <w:right w:val="none" w:sz="0" w:space="0" w:color="auto"/>
          </w:divBdr>
        </w:div>
        <w:div w:id="1822843265">
          <w:marLeft w:val="446"/>
          <w:marRight w:val="0"/>
          <w:marTop w:val="0"/>
          <w:marBottom w:val="240"/>
          <w:divBdr>
            <w:top w:val="none" w:sz="0" w:space="0" w:color="auto"/>
            <w:left w:val="none" w:sz="0" w:space="0" w:color="auto"/>
            <w:bottom w:val="none" w:sz="0" w:space="0" w:color="auto"/>
            <w:right w:val="none" w:sz="0" w:space="0" w:color="auto"/>
          </w:divBdr>
        </w:div>
        <w:div w:id="1949577798">
          <w:marLeft w:val="446"/>
          <w:marRight w:val="0"/>
          <w:marTop w:val="0"/>
          <w:marBottom w:val="240"/>
          <w:divBdr>
            <w:top w:val="none" w:sz="0" w:space="0" w:color="auto"/>
            <w:left w:val="none" w:sz="0" w:space="0" w:color="auto"/>
            <w:bottom w:val="none" w:sz="0" w:space="0" w:color="auto"/>
            <w:right w:val="none" w:sz="0" w:space="0" w:color="auto"/>
          </w:divBdr>
        </w:div>
        <w:div w:id="2074110892">
          <w:marLeft w:val="446"/>
          <w:marRight w:val="0"/>
          <w:marTop w:val="0"/>
          <w:marBottom w:val="240"/>
          <w:divBdr>
            <w:top w:val="none" w:sz="0" w:space="0" w:color="auto"/>
            <w:left w:val="none" w:sz="0" w:space="0" w:color="auto"/>
            <w:bottom w:val="none" w:sz="0" w:space="0" w:color="auto"/>
            <w:right w:val="none" w:sz="0" w:space="0" w:color="auto"/>
          </w:divBdr>
        </w:div>
      </w:divsChild>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E3F90-3A79-494C-BE03-0E911A7D688D}">
  <ds:schemaRefs>
    <ds:schemaRef ds:uri="http://schemas.openxmlformats.org/officeDocument/2006/bibliography"/>
  </ds:schemaRefs>
</ds:datastoreItem>
</file>

<file path=customXml/itemProps2.xml><?xml version="1.0" encoding="utf-8"?>
<ds:datastoreItem xmlns:ds="http://schemas.openxmlformats.org/officeDocument/2006/customXml" ds:itemID="{407F1B52-EF85-47AB-8061-B2C59A011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1F1C47-E705-47F6-8A1D-B719C930A0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80E95-9D70-46A3-952C-D21E11E65BA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2025-06-01T22:39:00Z</dcterms:created>
  <dcterms:modified xsi:type="dcterms:W3CDTF">2025-06-02T20:16:00Z</dcterms:modified>
</cp:coreProperties>
</file>